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69C79">
      <w:pPr>
        <w:ind w:left="0" w:leftChars="0" w:firstLine="0" w:firstLineChars="0"/>
        <w:jc w:val="center"/>
        <w:rPr>
          <w:rFonts w:hint="eastAsia"/>
          <w:b/>
          <w:bCs/>
          <w:sz w:val="44"/>
          <w:szCs w:val="44"/>
          <w:lang w:eastAsia="zh-CN"/>
        </w:rPr>
      </w:pPr>
      <w:r>
        <w:rPr>
          <w:rFonts w:hint="eastAsia"/>
          <w:b/>
          <w:bCs/>
          <w:sz w:val="44"/>
          <w:szCs w:val="44"/>
          <w:lang w:val="en-US" w:eastAsia="zh-CN"/>
        </w:rPr>
        <w:t xml:space="preserve"> 采购</w:t>
      </w:r>
      <w:r>
        <w:rPr>
          <w:rFonts w:hint="eastAsia"/>
          <w:b/>
          <w:bCs/>
          <w:sz w:val="44"/>
          <w:szCs w:val="44"/>
          <w:lang w:eastAsia="zh-CN"/>
        </w:rPr>
        <w:t>需求</w:t>
      </w:r>
    </w:p>
    <w:p w14:paraId="21626B14">
      <w:pPr>
        <w:pStyle w:val="2"/>
        <w:numPr>
          <w:ilvl w:val="0"/>
          <w:numId w:val="0"/>
        </w:numPr>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升级参数详情：</w:t>
      </w:r>
    </w:p>
    <w:tbl>
      <w:tblPr>
        <w:tblStyle w:val="11"/>
        <w:tblpPr w:leftFromText="180" w:rightFromText="180" w:vertAnchor="text" w:horzAnchor="page" w:tblpXSpec="center" w:tblpY="463"/>
        <w:tblOverlap w:val="never"/>
        <w:tblW w:w="10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8"/>
        <w:gridCol w:w="1574"/>
        <w:gridCol w:w="886"/>
        <w:gridCol w:w="1802"/>
        <w:gridCol w:w="4480"/>
        <w:gridCol w:w="764"/>
        <w:gridCol w:w="705"/>
      </w:tblGrid>
      <w:tr w14:paraId="704F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8" w:hRule="atLeast"/>
          <w:jc w:val="center"/>
        </w:trPr>
        <w:tc>
          <w:tcPr>
            <w:tcW w:w="468" w:type="dxa"/>
            <w:shd w:val="clear" w:color="auto" w:fill="FABF8F"/>
            <w:vAlign w:val="center"/>
          </w:tcPr>
          <w:p w14:paraId="3848E4F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574" w:type="dxa"/>
            <w:shd w:val="clear" w:color="auto" w:fill="FABF8F"/>
            <w:vAlign w:val="center"/>
          </w:tcPr>
          <w:p w14:paraId="104A419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产品名称</w:t>
            </w:r>
          </w:p>
        </w:tc>
        <w:tc>
          <w:tcPr>
            <w:tcW w:w="886" w:type="dxa"/>
            <w:shd w:val="clear" w:color="auto" w:fill="FABF8F"/>
            <w:vAlign w:val="center"/>
          </w:tcPr>
          <w:p w14:paraId="6CA5513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品牌</w:t>
            </w:r>
          </w:p>
        </w:tc>
        <w:tc>
          <w:tcPr>
            <w:tcW w:w="1802" w:type="dxa"/>
            <w:shd w:val="clear" w:color="auto" w:fill="FABF8F"/>
            <w:vAlign w:val="center"/>
          </w:tcPr>
          <w:p w14:paraId="7C64DB3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规格型号</w:t>
            </w:r>
          </w:p>
        </w:tc>
        <w:tc>
          <w:tcPr>
            <w:tcW w:w="4480" w:type="dxa"/>
            <w:shd w:val="clear" w:color="auto" w:fill="FABF8F"/>
            <w:vAlign w:val="center"/>
          </w:tcPr>
          <w:p w14:paraId="2F86EC6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产品规格配置</w:t>
            </w:r>
          </w:p>
        </w:tc>
        <w:tc>
          <w:tcPr>
            <w:tcW w:w="764" w:type="dxa"/>
            <w:shd w:val="clear" w:color="auto" w:fill="FABF8F"/>
            <w:vAlign w:val="center"/>
          </w:tcPr>
          <w:p w14:paraId="5188AB1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705" w:type="dxa"/>
            <w:shd w:val="clear" w:color="auto" w:fill="FABF8F"/>
            <w:vAlign w:val="center"/>
          </w:tcPr>
          <w:p w14:paraId="3DEFB1C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r>
      <w:tr w14:paraId="5341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468" w:type="dxa"/>
            <w:shd w:val="clear" w:color="auto" w:fill="FFFFFF"/>
            <w:vAlign w:val="center"/>
          </w:tcPr>
          <w:p w14:paraId="0855A66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574" w:type="dxa"/>
            <w:shd w:val="clear" w:color="auto" w:fill="FFFFFF"/>
            <w:vAlign w:val="center"/>
          </w:tcPr>
          <w:p w14:paraId="74282EB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入侵防御系统升级许可服务</w:t>
            </w:r>
          </w:p>
        </w:tc>
        <w:tc>
          <w:tcPr>
            <w:tcW w:w="886" w:type="dxa"/>
            <w:shd w:val="clear" w:color="auto" w:fill="FFFFFF"/>
            <w:vAlign w:val="center"/>
          </w:tcPr>
          <w:p w14:paraId="2A5EB2C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15AD46C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IDP-LIC-D-1Y</w:t>
            </w:r>
          </w:p>
        </w:tc>
        <w:tc>
          <w:tcPr>
            <w:tcW w:w="4480" w:type="dxa"/>
            <w:shd w:val="clear" w:color="auto" w:fill="FFFFFF"/>
            <w:vAlign w:val="center"/>
          </w:tcPr>
          <w:p w14:paraId="417A449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编码：P/N: TI-51214-S、序列号：Q1706547847；一年入侵规则库升级许可服务。</w:t>
            </w:r>
          </w:p>
        </w:tc>
        <w:tc>
          <w:tcPr>
            <w:tcW w:w="764" w:type="dxa"/>
            <w:shd w:val="clear" w:color="auto" w:fill="FFFFFF"/>
            <w:vAlign w:val="center"/>
          </w:tcPr>
          <w:p w14:paraId="3BF3F8A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05" w:type="dxa"/>
            <w:shd w:val="clear" w:color="auto" w:fill="FFFFFF"/>
            <w:vAlign w:val="center"/>
          </w:tcPr>
          <w:p w14:paraId="608AF84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685F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468" w:type="dxa"/>
            <w:shd w:val="clear" w:color="auto" w:fill="FFFFFF"/>
            <w:vAlign w:val="center"/>
          </w:tcPr>
          <w:p w14:paraId="519A61D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574" w:type="dxa"/>
            <w:shd w:val="clear" w:color="auto" w:fill="FFFFFF"/>
            <w:vAlign w:val="center"/>
          </w:tcPr>
          <w:p w14:paraId="2387C97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入侵防御系统升级许可服务</w:t>
            </w:r>
          </w:p>
        </w:tc>
        <w:tc>
          <w:tcPr>
            <w:tcW w:w="886" w:type="dxa"/>
            <w:shd w:val="clear" w:color="auto" w:fill="FFFFFF"/>
            <w:vAlign w:val="center"/>
          </w:tcPr>
          <w:p w14:paraId="4CD3AD5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1AC8657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IDP-LIC-D-1Y</w:t>
            </w:r>
          </w:p>
        </w:tc>
        <w:tc>
          <w:tcPr>
            <w:tcW w:w="4480" w:type="dxa"/>
            <w:shd w:val="clear" w:color="auto" w:fill="FFFFFF"/>
            <w:vAlign w:val="center"/>
          </w:tcPr>
          <w:p w14:paraId="1716641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编码：P/N: TI-51214-S、序列号：Q1706547848；一年入侵规则库升级许可服务。</w:t>
            </w:r>
          </w:p>
        </w:tc>
        <w:tc>
          <w:tcPr>
            <w:tcW w:w="764" w:type="dxa"/>
            <w:shd w:val="clear" w:color="auto" w:fill="FFFFFF"/>
            <w:vAlign w:val="center"/>
          </w:tcPr>
          <w:p w14:paraId="2B599F4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05" w:type="dxa"/>
            <w:shd w:val="clear" w:color="auto" w:fill="FFFFFF"/>
            <w:vAlign w:val="center"/>
          </w:tcPr>
          <w:p w14:paraId="2A3E842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3BEF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468" w:type="dxa"/>
            <w:shd w:val="clear" w:color="auto" w:fill="FFFFFF"/>
            <w:vAlign w:val="center"/>
          </w:tcPr>
          <w:p w14:paraId="522B92A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574" w:type="dxa"/>
            <w:shd w:val="clear" w:color="auto" w:fill="FFFFFF"/>
            <w:vAlign w:val="center"/>
          </w:tcPr>
          <w:p w14:paraId="7D8B137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防火墙系统升级许可服务</w:t>
            </w:r>
          </w:p>
        </w:tc>
        <w:tc>
          <w:tcPr>
            <w:tcW w:w="886" w:type="dxa"/>
            <w:shd w:val="clear" w:color="auto" w:fill="FFFFFF"/>
            <w:vAlign w:val="center"/>
          </w:tcPr>
          <w:p w14:paraId="5486B08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59B6A7B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AVPRO-SMT-LIC-D-FW-1Y</w:t>
            </w:r>
          </w:p>
        </w:tc>
        <w:tc>
          <w:tcPr>
            <w:tcW w:w="4480" w:type="dxa"/>
            <w:shd w:val="clear" w:color="auto" w:fill="FFFFFF"/>
            <w:vAlign w:val="center"/>
          </w:tcPr>
          <w:p w14:paraId="3F15469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编码：P/N: TG-52218、序列号：Q1706547840；一年专业版快速扫描查杀防病毒库升级服务许可。</w:t>
            </w:r>
          </w:p>
        </w:tc>
        <w:tc>
          <w:tcPr>
            <w:tcW w:w="764" w:type="dxa"/>
            <w:shd w:val="clear" w:color="auto" w:fill="FFFFFF"/>
            <w:vAlign w:val="center"/>
          </w:tcPr>
          <w:p w14:paraId="4E3DB8D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05" w:type="dxa"/>
            <w:shd w:val="clear" w:color="auto" w:fill="FFFFFF"/>
            <w:vAlign w:val="center"/>
          </w:tcPr>
          <w:p w14:paraId="39DFDB6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0F2E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468" w:type="dxa"/>
            <w:shd w:val="clear" w:color="auto" w:fill="FFFFFF"/>
            <w:vAlign w:val="center"/>
          </w:tcPr>
          <w:p w14:paraId="379D316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574" w:type="dxa"/>
            <w:shd w:val="clear" w:color="auto" w:fill="FFFFFF"/>
            <w:vAlign w:val="center"/>
          </w:tcPr>
          <w:p w14:paraId="531D57F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防火墙系统升级许可服务</w:t>
            </w:r>
          </w:p>
        </w:tc>
        <w:tc>
          <w:tcPr>
            <w:tcW w:w="886" w:type="dxa"/>
            <w:shd w:val="clear" w:color="auto" w:fill="FFFFFF"/>
            <w:vAlign w:val="center"/>
          </w:tcPr>
          <w:p w14:paraId="39DE161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78F14D1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IDP-LIC-F-FW-1Y</w:t>
            </w:r>
          </w:p>
        </w:tc>
        <w:tc>
          <w:tcPr>
            <w:tcW w:w="4480" w:type="dxa"/>
            <w:shd w:val="clear" w:color="auto" w:fill="FFFFFF"/>
            <w:vAlign w:val="center"/>
          </w:tcPr>
          <w:p w14:paraId="0B3AF40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编码：P/N: TG-42216、序列号：Q1904063304；一年IDP攻击规则特征库升级许可。</w:t>
            </w:r>
          </w:p>
        </w:tc>
        <w:tc>
          <w:tcPr>
            <w:tcW w:w="764" w:type="dxa"/>
            <w:shd w:val="clear" w:color="auto" w:fill="FFFFFF"/>
            <w:vAlign w:val="center"/>
          </w:tcPr>
          <w:p w14:paraId="707ED6C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705" w:type="dxa"/>
            <w:shd w:val="clear" w:color="auto" w:fill="FFFFFF"/>
            <w:vAlign w:val="center"/>
          </w:tcPr>
          <w:p w14:paraId="6104331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49A6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1" w:hRule="atLeast"/>
          <w:jc w:val="center"/>
        </w:trPr>
        <w:tc>
          <w:tcPr>
            <w:tcW w:w="468" w:type="dxa"/>
            <w:shd w:val="clear" w:color="auto" w:fill="FFFFFF"/>
            <w:vAlign w:val="center"/>
          </w:tcPr>
          <w:p w14:paraId="7C932D0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574" w:type="dxa"/>
            <w:shd w:val="clear" w:color="auto" w:fill="FFFFFF"/>
            <w:vAlign w:val="center"/>
          </w:tcPr>
          <w:p w14:paraId="2E6092F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防火墙系统升级许可服务</w:t>
            </w:r>
          </w:p>
        </w:tc>
        <w:tc>
          <w:tcPr>
            <w:tcW w:w="886" w:type="dxa"/>
            <w:shd w:val="clear" w:color="auto" w:fill="FFFFFF"/>
            <w:vAlign w:val="center"/>
          </w:tcPr>
          <w:p w14:paraId="7A13528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3A8C0DD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WF-LIC-F-FW-1Y</w:t>
            </w:r>
          </w:p>
        </w:tc>
        <w:tc>
          <w:tcPr>
            <w:tcW w:w="4480" w:type="dxa"/>
            <w:shd w:val="clear" w:color="auto" w:fill="FFFFFF"/>
            <w:vAlign w:val="center"/>
          </w:tcPr>
          <w:p w14:paraId="6E260E1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编码：P/N: TG-41408、序列号：Q1706547863；一年WebFilter过滤规则库升级服务许可。</w:t>
            </w:r>
          </w:p>
        </w:tc>
        <w:tc>
          <w:tcPr>
            <w:tcW w:w="764" w:type="dxa"/>
            <w:shd w:val="clear" w:color="auto" w:fill="FFFFFF"/>
            <w:vAlign w:val="center"/>
          </w:tcPr>
          <w:p w14:paraId="1EC9DCD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705" w:type="dxa"/>
            <w:shd w:val="clear" w:color="auto" w:fill="FFFFFF"/>
            <w:vAlign w:val="center"/>
          </w:tcPr>
          <w:p w14:paraId="29C953B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0234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468" w:type="dxa"/>
            <w:shd w:val="clear" w:color="auto" w:fill="FFFFFF"/>
            <w:vAlign w:val="center"/>
          </w:tcPr>
          <w:p w14:paraId="4DF3347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574" w:type="dxa"/>
            <w:shd w:val="clear" w:color="auto" w:fill="FFFFFF"/>
            <w:vAlign w:val="center"/>
          </w:tcPr>
          <w:p w14:paraId="410D895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防火墙系统升级许可服务</w:t>
            </w:r>
          </w:p>
        </w:tc>
        <w:tc>
          <w:tcPr>
            <w:tcW w:w="886" w:type="dxa"/>
            <w:shd w:val="clear" w:color="auto" w:fill="FFFFFF"/>
            <w:vAlign w:val="center"/>
          </w:tcPr>
          <w:p w14:paraId="0D7903C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2B563A4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AVPRO-SMT-LIC-D-FW-1Y</w:t>
            </w:r>
          </w:p>
        </w:tc>
        <w:tc>
          <w:tcPr>
            <w:tcW w:w="4480" w:type="dxa"/>
            <w:shd w:val="clear" w:color="auto" w:fill="FFFFFF"/>
            <w:vAlign w:val="center"/>
          </w:tcPr>
          <w:p w14:paraId="00C17AD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编码：P/N: TG-52218、序列号：Q1706547841；一年专业版快速扫描查杀防病毒库升级服务许可。</w:t>
            </w:r>
          </w:p>
        </w:tc>
        <w:tc>
          <w:tcPr>
            <w:tcW w:w="764" w:type="dxa"/>
            <w:shd w:val="clear" w:color="auto" w:fill="FFFFFF"/>
            <w:vAlign w:val="center"/>
          </w:tcPr>
          <w:p w14:paraId="28B6CDF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705" w:type="dxa"/>
            <w:shd w:val="clear" w:color="auto" w:fill="FFFFFF"/>
            <w:vAlign w:val="center"/>
          </w:tcPr>
          <w:p w14:paraId="698B063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组</w:t>
            </w:r>
          </w:p>
        </w:tc>
      </w:tr>
      <w:tr w14:paraId="3B4F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468" w:type="dxa"/>
            <w:shd w:val="clear" w:color="auto" w:fill="FFFFFF"/>
            <w:vAlign w:val="center"/>
          </w:tcPr>
          <w:p w14:paraId="5B3D831F">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574" w:type="dxa"/>
            <w:shd w:val="clear" w:color="auto" w:fill="FFFFFF"/>
            <w:vAlign w:val="center"/>
          </w:tcPr>
          <w:p w14:paraId="53E666D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上网行为管理系统升级许可服务</w:t>
            </w:r>
          </w:p>
        </w:tc>
        <w:tc>
          <w:tcPr>
            <w:tcW w:w="886" w:type="dxa"/>
            <w:shd w:val="clear" w:color="auto" w:fill="FFFFFF"/>
            <w:vAlign w:val="center"/>
          </w:tcPr>
          <w:p w14:paraId="0ACE9AD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0FD1CAE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ACM-LIC-1Y</w:t>
            </w:r>
          </w:p>
        </w:tc>
        <w:tc>
          <w:tcPr>
            <w:tcW w:w="4480" w:type="dxa"/>
            <w:shd w:val="clear" w:color="auto" w:fill="FFFFFF"/>
            <w:vAlign w:val="center"/>
          </w:tcPr>
          <w:p w14:paraId="1980AD4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编码：P/N: ACM-51614、序列号：Q1706547854；一年系统版本、URL库及应用特征库升级许可。</w:t>
            </w:r>
          </w:p>
        </w:tc>
        <w:tc>
          <w:tcPr>
            <w:tcW w:w="764" w:type="dxa"/>
            <w:shd w:val="clear" w:color="auto" w:fill="FFFFFF"/>
            <w:vAlign w:val="center"/>
          </w:tcPr>
          <w:p w14:paraId="5C5D061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705" w:type="dxa"/>
            <w:shd w:val="clear" w:color="auto" w:fill="FFFFFF"/>
            <w:vAlign w:val="center"/>
          </w:tcPr>
          <w:p w14:paraId="38E4377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组</w:t>
            </w:r>
          </w:p>
        </w:tc>
      </w:tr>
      <w:tr w14:paraId="3DD8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468" w:type="dxa"/>
            <w:shd w:val="clear" w:color="auto" w:fill="FFFFFF"/>
            <w:vAlign w:val="center"/>
          </w:tcPr>
          <w:p w14:paraId="12147F4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574" w:type="dxa"/>
            <w:shd w:val="clear" w:color="auto" w:fill="FFFFFF"/>
            <w:vAlign w:val="center"/>
          </w:tcPr>
          <w:p w14:paraId="4FABC9C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上网行为管理系统升级许可服务</w:t>
            </w:r>
          </w:p>
        </w:tc>
        <w:tc>
          <w:tcPr>
            <w:tcW w:w="886" w:type="dxa"/>
            <w:shd w:val="clear" w:color="auto" w:fill="FFFFFF"/>
            <w:vAlign w:val="center"/>
          </w:tcPr>
          <w:p w14:paraId="199E320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天融信</w:t>
            </w:r>
          </w:p>
        </w:tc>
        <w:tc>
          <w:tcPr>
            <w:tcW w:w="1802" w:type="dxa"/>
            <w:shd w:val="clear" w:color="auto" w:fill="FFFFFF"/>
            <w:vAlign w:val="center"/>
          </w:tcPr>
          <w:p w14:paraId="61A9236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ACM-LIC-1Y</w:t>
            </w:r>
          </w:p>
        </w:tc>
        <w:tc>
          <w:tcPr>
            <w:tcW w:w="4480" w:type="dxa"/>
            <w:shd w:val="clear" w:color="auto" w:fill="FFFFFF"/>
            <w:vAlign w:val="center"/>
          </w:tcPr>
          <w:p w14:paraId="484C435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编码：P/N: ACM-51614、序列号：Q1706547855；一年系统版本、URL库及应用特征库升级许可。</w:t>
            </w:r>
          </w:p>
        </w:tc>
        <w:tc>
          <w:tcPr>
            <w:tcW w:w="764" w:type="dxa"/>
            <w:shd w:val="clear" w:color="auto" w:fill="FFFFFF"/>
            <w:vAlign w:val="center"/>
          </w:tcPr>
          <w:p w14:paraId="6E05019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705" w:type="dxa"/>
            <w:shd w:val="clear" w:color="auto" w:fill="FFFFFF"/>
            <w:vAlign w:val="center"/>
          </w:tcPr>
          <w:p w14:paraId="51A0B11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组</w:t>
            </w:r>
          </w:p>
        </w:tc>
      </w:tr>
    </w:tbl>
    <w:p w14:paraId="04D13CBF">
      <w:pPr>
        <w:pStyle w:val="2"/>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二、服务要求：</w:t>
      </w:r>
    </w:p>
    <w:p w14:paraId="36C7E6AD">
      <w:pPr>
        <w:pStyle w:val="2"/>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1.每次升级完成后，本项目内容需达到《网络安全等级保护基本要求》的安全防护能力。 </w:t>
      </w:r>
    </w:p>
    <w:p w14:paraId="2D942E5A">
      <w:pPr>
        <w:numPr>
          <w:ilvl w:val="0"/>
          <w:numId w:val="0"/>
        </w:numPr>
        <w:ind w:firstLine="560" w:firstLineChars="200"/>
        <w:rPr>
          <w:rFonts w:hint="default" w:ascii="仿宋" w:hAnsi="仿宋" w:eastAsia="仿宋" w:cs="仿宋"/>
          <w:bCs/>
          <w:kern w:val="44"/>
          <w:sz w:val="28"/>
          <w:szCs w:val="28"/>
          <w:lang w:val="en-US" w:eastAsia="zh-CN" w:bidi="ar-SA"/>
        </w:rPr>
      </w:pPr>
      <w:r>
        <w:rPr>
          <w:rFonts w:hint="eastAsia" w:ascii="仿宋" w:hAnsi="仿宋" w:eastAsia="仿宋" w:cs="仿宋"/>
          <w:bCs/>
          <w:kern w:val="44"/>
          <w:sz w:val="28"/>
          <w:szCs w:val="28"/>
          <w:lang w:val="en-US" w:eastAsia="zh-CN" w:bidi="ar-SA"/>
        </w:rPr>
        <w:t>2.合同签订后10日内完成规则库升级项目。</w:t>
      </w:r>
    </w:p>
    <w:p w14:paraId="1F79405B">
      <w:pPr>
        <w:numPr>
          <w:ilvl w:val="0"/>
          <w:numId w:val="0"/>
        </w:numPr>
        <w:ind w:firstLine="560" w:firstLineChars="200"/>
        <w:rPr>
          <w:rFonts w:hint="default" w:ascii="仿宋" w:hAnsi="仿宋" w:eastAsia="仿宋" w:cs="仿宋"/>
          <w:bCs/>
          <w:kern w:val="44"/>
          <w:sz w:val="28"/>
          <w:szCs w:val="28"/>
          <w:lang w:val="en-US" w:eastAsia="zh-CN" w:bidi="ar-SA"/>
        </w:rPr>
      </w:pPr>
      <w:r>
        <w:rPr>
          <w:rFonts w:hint="eastAsia" w:ascii="仿宋" w:hAnsi="仿宋" w:eastAsia="仿宋" w:cs="仿宋"/>
          <w:bCs/>
          <w:kern w:val="44"/>
          <w:sz w:val="28"/>
          <w:szCs w:val="28"/>
          <w:lang w:val="en-US" w:eastAsia="zh-CN" w:bidi="ar-SA"/>
        </w:rPr>
        <w:t>3.将依据问题性质和紧迫程度通过邮件、电话、网络、现场等方式提供持续的7*24小时服务，如电话、网络热线响应维护不能解决，运维人员将在确定问题性质之后，24小时内到达现场，直至问题得到解决，在接到系统紧急事件后需在5分钟内做出响应，1小时内启动应急服务，协调安排相关工作人员跟进处理相关紧急情况，提供完整的应急方案，并根据实际情况进行修订。</w:t>
      </w:r>
    </w:p>
    <w:p w14:paraId="6E657449">
      <w:pPr>
        <w:numPr>
          <w:numId w:val="0"/>
        </w:numPr>
        <w:ind w:firstLine="560" w:firstLineChars="200"/>
        <w:rPr>
          <w:rFonts w:hint="default" w:ascii="仿宋" w:hAnsi="仿宋" w:eastAsia="仿宋" w:cs="仿宋"/>
          <w:bCs/>
          <w:kern w:val="44"/>
          <w:sz w:val="28"/>
          <w:szCs w:val="28"/>
          <w:lang w:val="en-US" w:eastAsia="zh-CN" w:bidi="ar-SA"/>
        </w:rPr>
      </w:pPr>
      <w:r>
        <w:rPr>
          <w:rFonts w:hint="eastAsia" w:ascii="仿宋" w:hAnsi="仿宋" w:eastAsia="仿宋" w:cs="仿宋"/>
          <w:bCs/>
          <w:kern w:val="44"/>
          <w:sz w:val="28"/>
          <w:szCs w:val="28"/>
          <w:lang w:val="en-US" w:eastAsia="zh-CN" w:bidi="ar-SA"/>
        </w:rPr>
        <w:t>4.维护期间，供应商持续提供后续网络相关技术支持，包括但不限于防火墙配置、安全策略优化、网络异常诊断及应急处理在内的全方位技术支持。</w:t>
      </w:r>
    </w:p>
    <w:p w14:paraId="405BCDA6">
      <w:pPr>
        <w:numPr>
          <w:ilvl w:val="0"/>
          <w:numId w:val="0"/>
        </w:numPr>
        <w:ind w:firstLine="560" w:firstLineChars="200"/>
        <w:rPr>
          <w:rFonts w:hint="default" w:ascii="仿宋" w:hAnsi="仿宋" w:eastAsia="仿宋" w:cs="仿宋"/>
          <w:bCs/>
          <w:kern w:val="44"/>
          <w:sz w:val="28"/>
          <w:szCs w:val="28"/>
          <w:lang w:val="en-US" w:eastAsia="zh-CN" w:bidi="ar-SA"/>
        </w:rPr>
      </w:pPr>
      <w:r>
        <w:rPr>
          <w:rFonts w:hint="eastAsia" w:ascii="仿宋" w:hAnsi="仿宋" w:eastAsia="仿宋" w:cs="仿宋"/>
          <w:bCs/>
          <w:kern w:val="44"/>
          <w:sz w:val="28"/>
          <w:szCs w:val="28"/>
          <w:lang w:val="en-US" w:eastAsia="zh-CN" w:bidi="ar-SA"/>
        </w:rPr>
        <w:t>5.</w:t>
      </w:r>
      <w:bookmarkStart w:id="0" w:name="_GoBack"/>
      <w:bookmarkEnd w:id="0"/>
      <w:r>
        <w:rPr>
          <w:rFonts w:hint="default" w:ascii="仿宋" w:hAnsi="仿宋" w:eastAsia="仿宋" w:cs="仿宋"/>
          <w:bCs/>
          <w:kern w:val="44"/>
          <w:sz w:val="28"/>
          <w:szCs w:val="28"/>
          <w:lang w:val="en-US" w:eastAsia="zh-CN" w:bidi="ar-SA"/>
        </w:rPr>
        <w:t>数据安全与保密：</w:t>
      </w:r>
    </w:p>
    <w:p w14:paraId="0C82C4F3">
      <w:pPr>
        <w:numPr>
          <w:ilvl w:val="0"/>
          <w:numId w:val="2"/>
        </w:numPr>
        <w:rPr>
          <w:rFonts w:hint="default" w:ascii="仿宋" w:hAnsi="仿宋" w:eastAsia="仿宋" w:cs="仿宋"/>
          <w:bCs/>
          <w:kern w:val="44"/>
          <w:sz w:val="28"/>
          <w:szCs w:val="28"/>
          <w:lang w:val="en-US" w:eastAsia="zh-CN" w:bidi="ar-SA"/>
        </w:rPr>
      </w:pPr>
      <w:r>
        <w:rPr>
          <w:rFonts w:hint="default" w:ascii="仿宋" w:hAnsi="仿宋" w:eastAsia="仿宋" w:cs="仿宋"/>
          <w:bCs/>
          <w:kern w:val="44"/>
          <w:sz w:val="28"/>
          <w:szCs w:val="28"/>
          <w:lang w:val="en-US" w:eastAsia="zh-CN" w:bidi="ar-SA"/>
        </w:rPr>
        <w:t>双方应共同遵守《中华人民共和国反不正当竞争法》《中华人民共和国数据安全法》《中华人民共和国个人信息保护法》等法律法规的规定，相互尊重对方的知识产权。</w:t>
      </w:r>
    </w:p>
    <w:p w14:paraId="3620A891">
      <w:pPr>
        <w:numPr>
          <w:ilvl w:val="0"/>
          <w:numId w:val="2"/>
        </w:numPr>
        <w:ind w:left="0" w:leftChars="0" w:firstLine="560" w:firstLineChars="200"/>
        <w:rPr>
          <w:rFonts w:hint="default" w:ascii="仿宋" w:hAnsi="仿宋" w:eastAsia="仿宋" w:cs="仿宋"/>
          <w:bCs/>
          <w:kern w:val="44"/>
          <w:sz w:val="28"/>
          <w:szCs w:val="28"/>
          <w:lang w:val="en-US" w:eastAsia="zh-CN" w:bidi="ar-SA"/>
        </w:rPr>
      </w:pPr>
      <w:r>
        <w:rPr>
          <w:rFonts w:hint="default" w:ascii="仿宋" w:hAnsi="仿宋" w:eastAsia="仿宋" w:cs="仿宋"/>
          <w:bCs/>
          <w:kern w:val="44"/>
          <w:sz w:val="28"/>
          <w:szCs w:val="28"/>
          <w:lang w:val="en-US" w:eastAsia="zh-CN" w:bidi="ar-SA"/>
        </w:rPr>
        <w:t>未经一方事先书面授权，任何一方不得以任何形式向任何第三方泄露、转让、许可使用、交换、赠予或与任何第三方共同使用或不正当使用保密信息。违反本条规定，给对方造成损失的，违约方应承担相应的法律责任。</w:t>
      </w:r>
    </w:p>
    <w:p w14:paraId="55F44438">
      <w:pPr>
        <w:numPr>
          <w:ilvl w:val="0"/>
          <w:numId w:val="2"/>
        </w:numPr>
        <w:ind w:left="0" w:leftChars="0" w:firstLine="560" w:firstLineChars="200"/>
        <w:rPr>
          <w:rFonts w:hint="default" w:ascii="仿宋" w:hAnsi="仿宋" w:eastAsia="仿宋" w:cs="仿宋"/>
          <w:bCs/>
          <w:kern w:val="44"/>
          <w:sz w:val="28"/>
          <w:szCs w:val="28"/>
          <w:lang w:val="en-US" w:eastAsia="zh-CN" w:bidi="ar-SA"/>
        </w:rPr>
      </w:pPr>
      <w:r>
        <w:rPr>
          <w:rFonts w:hint="default" w:ascii="仿宋" w:hAnsi="仿宋" w:eastAsia="仿宋" w:cs="仿宋"/>
          <w:bCs/>
          <w:kern w:val="44"/>
          <w:sz w:val="28"/>
          <w:szCs w:val="28"/>
          <w:lang w:val="en-US" w:eastAsia="zh-CN" w:bidi="ar-SA"/>
        </w:rPr>
        <w:t>保密信息包括但不限于：技术实施方案、产品信息、用户手册、软件代码、系统架构、运营数据、用户信息、业务数据、项目资料、商务信息，以及双方以口头、书面、电子或其他形式披露的明确标注为保密或依其性质应被视为保密的信息。</w:t>
      </w:r>
    </w:p>
    <w:p w14:paraId="7009EDA8">
      <w:pPr>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仿宋" w:hAnsi="仿宋" w:eastAsia="仿宋" w:cs="仿宋"/>
          <w:bCs/>
          <w:kern w:val="44"/>
          <w:sz w:val="28"/>
          <w:szCs w:val="28"/>
          <w:lang w:val="en-US" w:eastAsia="zh-CN" w:bidi="ar-SA"/>
        </w:rPr>
      </w:pPr>
      <w:r>
        <w:rPr>
          <w:rFonts w:hint="default" w:ascii="仿宋" w:hAnsi="仿宋" w:eastAsia="仿宋" w:cs="仿宋"/>
          <w:bCs/>
          <w:kern w:val="44"/>
          <w:sz w:val="28"/>
          <w:szCs w:val="28"/>
          <w:lang w:val="en-US" w:eastAsia="zh-CN" w:bidi="ar-SA"/>
        </w:rPr>
        <w:t>（4）供应商特别承诺，对于在服务过程中接触、收集、处理或以其他方式知悉的院方医院相关数据（包括但不限于患者信息、诊疗数据、医疗记录、运营管理数据、系统日志等），均属于保密信息的核心组成部分。供应商应严格遵守《中华人民共和国个人信息保护法》《中华人民共和国数据安全法》等相关法律法规，仅在本合同约定的服务范围内使用上述数据，不得用于任何其他目的，不得以任何形式向任何第三方泄露、提供或允许其使用，并在合同终止后按照院方要求返还或销毁相关数据。</w:t>
      </w:r>
    </w:p>
    <w:p w14:paraId="67F42F62">
      <w:pPr>
        <w:pStyle w:val="2"/>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仿宋" w:hAnsi="仿宋" w:eastAsia="仿宋" w:cs="仿宋"/>
          <w:bCs/>
          <w:kern w:val="44"/>
          <w:sz w:val="28"/>
          <w:szCs w:val="28"/>
          <w:lang w:val="en-US" w:eastAsia="zh-CN" w:bidi="ar-SA"/>
        </w:rPr>
      </w:pPr>
      <w:r>
        <w:rPr>
          <w:rFonts w:hint="default" w:ascii="仿宋" w:hAnsi="仿宋" w:eastAsia="仿宋" w:cs="仿宋"/>
          <w:bCs/>
          <w:kern w:val="44"/>
          <w:sz w:val="28"/>
          <w:szCs w:val="28"/>
          <w:lang w:val="en-US" w:eastAsia="zh-CN" w:bidi="ar-SA"/>
        </w:rPr>
        <w:t>（5）供应商保证，院方在使用供应商根据本需求提供的产品或服务时，如因供应商原因导致院方遭受第三方提出的侵犯其专利权、商标权、工业设计权或其他知识产权的起诉，由供应商承担相应责任，并赔偿因此给院方造成的损失。</w:t>
      </w:r>
    </w:p>
    <w:p w14:paraId="200B4782">
      <w:pPr>
        <w:pStyle w:val="2"/>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Calibri Light">
    <w:panose1 w:val="020F0302020204030204"/>
    <w:charset w:val="00"/>
    <w:family w:val="auto"/>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E94B6"/>
    <w:multiLevelType w:val="multilevel"/>
    <w:tmpl w:val="395E94B6"/>
    <w:lvl w:ilvl="0" w:tentative="0">
      <w:start w:val="1"/>
      <w:numFmt w:val="chineseCounting"/>
      <w:pStyle w:val="2"/>
      <w:suff w:val="nothing"/>
      <w:lvlText w:val="%1、"/>
      <w:lvlJc w:val="left"/>
      <w:pPr>
        <w:ind w:left="40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3E813B02"/>
    <w:multiLevelType w:val="singleLevel"/>
    <w:tmpl w:val="3E813B0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ODhjYTE1NjNjYmI5YzMxYzAyMzcyZjM5ZjA2OGIifQ=="/>
  </w:docVars>
  <w:rsids>
    <w:rsidRoot w:val="00000000"/>
    <w:rsid w:val="011A437A"/>
    <w:rsid w:val="02D05D23"/>
    <w:rsid w:val="088A6319"/>
    <w:rsid w:val="131A3430"/>
    <w:rsid w:val="15DD0268"/>
    <w:rsid w:val="1D642FE5"/>
    <w:rsid w:val="1E0A5972"/>
    <w:rsid w:val="219351C4"/>
    <w:rsid w:val="2195103F"/>
    <w:rsid w:val="24C246A9"/>
    <w:rsid w:val="29BD0869"/>
    <w:rsid w:val="2A1C4276"/>
    <w:rsid w:val="2BE572A3"/>
    <w:rsid w:val="2E3B56D4"/>
    <w:rsid w:val="332243F7"/>
    <w:rsid w:val="37620175"/>
    <w:rsid w:val="3E4922F5"/>
    <w:rsid w:val="493A7B2D"/>
    <w:rsid w:val="4A275968"/>
    <w:rsid w:val="4C802F31"/>
    <w:rsid w:val="4FF113AE"/>
    <w:rsid w:val="50065A15"/>
    <w:rsid w:val="50393434"/>
    <w:rsid w:val="507D550F"/>
    <w:rsid w:val="544B0F90"/>
    <w:rsid w:val="54946FD4"/>
    <w:rsid w:val="5889335C"/>
    <w:rsid w:val="5D6879E4"/>
    <w:rsid w:val="5E96232F"/>
    <w:rsid w:val="5F0159A0"/>
    <w:rsid w:val="5F3B6BC6"/>
    <w:rsid w:val="600D745F"/>
    <w:rsid w:val="607A7AC3"/>
    <w:rsid w:val="6424610D"/>
    <w:rsid w:val="64577906"/>
    <w:rsid w:val="67C3167A"/>
    <w:rsid w:val="69460482"/>
    <w:rsid w:val="71287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83" w:firstLineChars="200"/>
      <w:jc w:val="both"/>
    </w:pPr>
    <w:rPr>
      <w:rFonts w:ascii="Calibri" w:hAnsi="Calibri" w:eastAsia="方正仿宋_GBK" w:cs="Times New Roman"/>
      <w:kern w:val="2"/>
      <w:sz w:val="32"/>
      <w:szCs w:val="22"/>
      <w:lang w:val="en-US" w:eastAsia="zh-CN" w:bidi="ar-SA"/>
    </w:rPr>
  </w:style>
  <w:style w:type="paragraph" w:styleId="2">
    <w:name w:val="heading 1"/>
    <w:basedOn w:val="1"/>
    <w:next w:val="1"/>
    <w:qFormat/>
    <w:uiPriority w:val="0"/>
    <w:pPr>
      <w:keepNext/>
      <w:keepLines/>
      <w:numPr>
        <w:ilvl w:val="0"/>
        <w:numId w:val="1"/>
      </w:numPr>
      <w:tabs>
        <w:tab w:val="left" w:pos="420"/>
      </w:tabs>
      <w:spacing w:line="580" w:lineRule="exact"/>
      <w:ind w:firstLine="883" w:firstLineChars="200"/>
      <w:outlineLvl w:val="0"/>
    </w:pPr>
    <w:rPr>
      <w:rFonts w:eastAsia="黑体"/>
      <w:bCs/>
      <w:kern w:val="44"/>
      <w:szCs w:val="44"/>
    </w:rPr>
  </w:style>
  <w:style w:type="paragraph" w:styleId="3">
    <w:name w:val="heading 2"/>
    <w:basedOn w:val="1"/>
    <w:next w:val="1"/>
    <w:semiHidden/>
    <w:unhideWhenUsed/>
    <w:qFormat/>
    <w:uiPriority w:val="0"/>
    <w:pPr>
      <w:keepNext/>
      <w:keepLines/>
      <w:numPr>
        <w:ilvl w:val="1"/>
        <w:numId w:val="1"/>
      </w:numPr>
      <w:tabs>
        <w:tab w:val="left" w:pos="420"/>
      </w:tabs>
      <w:spacing w:line="580" w:lineRule="exact"/>
      <w:ind w:left="0" w:firstLine="0" w:firstLineChars="0"/>
      <w:outlineLvl w:val="1"/>
    </w:pPr>
    <w:rPr>
      <w:rFonts w:eastAsia="方正楷体_GB2312" w:asciiTheme="majorAscii" w:hAnsiTheme="majorAscii" w:cstheme="majorBidi"/>
      <w:bCs/>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firstLineChars="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1263</Words>
  <Characters>1559</Characters>
  <Lines>0</Lines>
  <Paragraphs>0</Paragraphs>
  <TotalTime>0</TotalTime>
  <ScaleCrop>false</ScaleCrop>
  <LinksUpToDate>false</LinksUpToDate>
  <CharactersWithSpaces>1570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佳丽</cp:lastModifiedBy>
  <cp:lastPrinted>2026-07-29T07:07:00Z</cp:lastPrinted>
  <dcterms:modified xsi:type="dcterms:W3CDTF">2026-07-31T00:06:15Z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6B105B30DD28417B9AD6AA1832F3E542_13</vt:lpwstr>
  </property>
  <property fmtid="{D5CDD505-2E9C-101B-9397-08002B2CF9AE}" pid="4" name="KSOTemplateDocerSaveRecord">
    <vt:lpwstr>eyJoZGlkIjoiMDNmYjRkNTMyMjQ2OGM4ZjgzZmFkODY5MTIwNzRhNGYiLCJ1c2VySWQiOiI1ODEzODIxOTcifQ==</vt:lpwstr>
  </property>
</Properties>
</file>