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6FAF7">
      <w:pPr>
        <w:keepNext w:val="0"/>
        <w:keepLines w:val="0"/>
        <w:pageBreakBefore w:val="0"/>
        <w:widowControl w:val="0"/>
        <w:kinsoku/>
        <w:wordWrap/>
        <w:overflowPunct/>
        <w:topLinePunct w:val="0"/>
        <w:autoSpaceDE/>
        <w:autoSpaceDN/>
        <w:bidi w:val="0"/>
        <w:adjustRightInd/>
        <w:snapToGrid/>
        <w:spacing w:before="160" w:after="0" w:line="580" w:lineRule="exact"/>
        <w:ind w:left="0" w:right="0"/>
        <w:jc w:val="center"/>
        <w:textAlignment w:val="auto"/>
        <w:rPr>
          <w:rFonts w:hint="eastAsia" w:ascii="方正小标宋_GBK" w:hAnsi="方正小标宋_GBK" w:eastAsia="方正小标宋_GBK" w:cs="方正小标宋_GBK"/>
          <w:b w:val="0"/>
          <w:bCs w:val="0"/>
          <w:i w:val="0"/>
          <w:spacing w:val="0"/>
          <w:sz w:val="44"/>
          <w:szCs w:val="44"/>
          <w:lang w:eastAsia="zh-CN"/>
        </w:rPr>
      </w:pPr>
      <w:r>
        <w:rPr>
          <w:rFonts w:hint="eastAsia" w:ascii="方正小标宋_GBK" w:hAnsi="方正小标宋_GBK" w:eastAsia="方正小标宋_GBK" w:cs="方正小标宋_GBK"/>
          <w:b w:val="0"/>
          <w:bCs w:val="0"/>
          <w:i w:val="0"/>
          <w:spacing w:val="0"/>
          <w:sz w:val="44"/>
          <w:szCs w:val="44"/>
          <w:lang w:eastAsia="zh-CN"/>
        </w:rPr>
        <w:t>采购需求</w:t>
      </w:r>
    </w:p>
    <w:p w14:paraId="04A04DFD">
      <w:pPr>
        <w:keepNext w:val="0"/>
        <w:keepLines w:val="0"/>
        <w:pageBreakBefore w:val="0"/>
        <w:widowControl w:val="0"/>
        <w:kinsoku/>
        <w:wordWrap/>
        <w:overflowPunct/>
        <w:topLinePunct w:val="0"/>
        <w:autoSpaceDE/>
        <w:autoSpaceDN/>
        <w:bidi w:val="0"/>
        <w:adjustRightInd/>
        <w:snapToGrid/>
        <w:spacing w:before="160" w:after="0" w:line="580" w:lineRule="exact"/>
        <w:ind w:left="0" w:right="0"/>
        <w:jc w:val="left"/>
        <w:textAlignment w:val="auto"/>
        <w:rPr>
          <w:rFonts w:hint="eastAsia" w:ascii="方正仿宋_GBK" w:hAnsi="方正仿宋_GBK" w:eastAsia="方正仿宋_GBK" w:cs="方正仿宋_GBK"/>
          <w:b w:val="0"/>
          <w:bCs/>
          <w:i w:val="0"/>
          <w:spacing w:val="0"/>
          <w:sz w:val="32"/>
          <w:szCs w:val="32"/>
          <w:lang w:eastAsia="zh-CN"/>
        </w:rPr>
      </w:pPr>
      <w:r>
        <w:rPr>
          <w:rFonts w:hint="eastAsia" w:ascii="方正仿宋_GBK" w:hAnsi="方正仿宋_GBK" w:eastAsia="方正仿宋_GBK" w:cs="方正仿宋_GBK"/>
          <w:kern w:val="0"/>
          <w:sz w:val="32"/>
          <w:szCs w:val="32"/>
          <w:lang w:val="en-US" w:eastAsia="zh-CN" w:bidi="ar-SA"/>
        </w:rPr>
        <w:t>一、项目</w:t>
      </w:r>
      <w:r>
        <w:rPr>
          <w:rFonts w:hint="eastAsia" w:ascii="方正仿宋_GBK" w:hAnsi="方正仿宋_GBK" w:eastAsia="方正仿宋_GBK" w:cs="方正仿宋_GBK"/>
          <w:b w:val="0"/>
          <w:bCs/>
          <w:i w:val="0"/>
          <w:spacing w:val="0"/>
          <w:sz w:val="32"/>
          <w:szCs w:val="32"/>
          <w:lang w:eastAsia="zh-CN"/>
        </w:rPr>
        <w:t xml:space="preserve">概述 </w:t>
      </w:r>
    </w:p>
    <w:p w14:paraId="6B67CFDD">
      <w:pPr>
        <w:keepNext w:val="0"/>
        <w:keepLines w:val="0"/>
        <w:pageBreakBefore w:val="0"/>
        <w:widowControl w:val="0"/>
        <w:kinsoku/>
        <w:wordWrap/>
        <w:overflowPunct/>
        <w:topLinePunct w:val="0"/>
        <w:autoSpaceDE/>
        <w:autoSpaceDN/>
        <w:bidi w:val="0"/>
        <w:adjustRightInd/>
        <w:snapToGrid/>
        <w:spacing w:before="160" w:after="0" w:line="580" w:lineRule="exact"/>
        <w:ind w:left="0" w:right="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项目旨在采购专业的运维服务团队，对医院核心机房（含配电、空调、消防）、全院弱电井及网络接入点、服务器与存储设备提供专业化、规范化、全面化的运维服务。目标是通过驻场支持、定期巡检、故障抢修、性能优化和应急保障，确保医院业务网络7×24小时稳定运行、连续、高效运行，消除硬件设备运行隐患。</w:t>
      </w:r>
    </w:p>
    <w:p w14:paraId="7BE78BFE">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二、服务内容(包括但不限于以下内容):</w:t>
      </w:r>
    </w:p>
    <w:p w14:paraId="72CAFB67">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 硬件设备运维服务</w:t>
      </w:r>
    </w:p>
    <w:p w14:paraId="39A600B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本部分服务覆盖医院目前在用的各类服务器及服务期限内新购的各类服务器，包括但不限于虚拟化服务器、数据库服务器、应用服务器、WEB服务器及备份服务器。服务旨在通过主动式监控、标准化事件管理和定期的系统调优，确保服务器硬件的高可用性与操作系统的稳定运行。</w:t>
      </w:r>
    </w:p>
    <w:p w14:paraId="7D5CFEF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1.1 服务器硬件维护</w:t>
      </w:r>
    </w:p>
    <w:p w14:paraId="7FFA0C92">
      <w:pPr>
        <w:keepNext w:val="0"/>
        <w:keepLines w:val="0"/>
        <w:pageBreakBefore w:val="0"/>
        <w:widowControl w:val="0"/>
        <w:kinsoku/>
        <w:wordWrap/>
        <w:overflowPunct/>
        <w:topLinePunct w:val="0"/>
        <w:autoSpaceDE/>
        <w:autoSpaceDN/>
        <w:bidi w:val="0"/>
        <w:adjustRightInd/>
        <w:snapToGrid/>
        <w:spacing w:before="160" w:after="0" w:line="580" w:lineRule="exact"/>
        <w:ind w:left="0" w:leftChars="0" w:right="0" w:rightChars="0" w:firstLine="0" w:firstLine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1.1.1 硬件状态监控与故障处理</w:t>
      </w:r>
    </w:p>
    <w:p w14:paraId="5D34865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（1）硬件状态全面检查：</w:t>
      </w:r>
    </w:p>
    <w:p w14:paraId="07DBA34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实时监控： 对服务器的关键硬件组件按周定期巡查，包括但不限于CPU、内存、电源模块、散热风扇、硬盘及前面板指示灯/告警灯。健康度评估： 定期检查硬件的运行日志，预判硬盘、内存等部件的寿命和故障风险。</w:t>
      </w:r>
    </w:p>
    <w:p w14:paraId="60038C3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（2）硬件故障处理：</w:t>
      </w:r>
    </w:p>
    <w:p w14:paraId="7D663A89">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快速诊断： 提供硬件级故障排查服务，准确定位故障部件（如故障硬盘、损坏内存、失效电源）。备件更换协同： 协助硬件厂家维修人员进行故障备件的更换与验证，确保硬件恢复正常后无缝接入系统。</w:t>
      </w:r>
    </w:p>
    <w:p w14:paraId="087F7DF9">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（3）硬件安装与调整：</w:t>
      </w:r>
    </w:p>
    <w:p w14:paraId="74D8193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协助设备厂家人员提供服务器上架、下架、硬件扩容（增加内存、硬盘）、部件更换等安装与调整服务，确保物理操作的规范性与安全性。</w:t>
      </w:r>
    </w:p>
    <w:p w14:paraId="07D9EE54">
      <w:pPr>
        <w:keepNext w:val="0"/>
        <w:keepLines w:val="0"/>
        <w:pageBreakBefore w:val="0"/>
        <w:widowControl w:val="0"/>
        <w:kinsoku/>
        <w:wordWrap/>
        <w:overflowPunct/>
        <w:topLinePunct w:val="0"/>
        <w:autoSpaceDE/>
        <w:autoSpaceDN/>
        <w:bidi w:val="0"/>
        <w:adjustRightInd/>
        <w:snapToGrid/>
        <w:spacing w:before="160" w:after="0" w:line="580" w:lineRule="exact"/>
        <w:ind w:left="0" w:leftChars="0" w:right="0" w:rightChars="0" w:firstLine="0" w:firstLine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1.1.2 服务器性能与资源监控</w:t>
      </w:r>
    </w:p>
    <w:p w14:paraId="5BE24A5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（1）核心性能指标监控：</w:t>
      </w:r>
    </w:p>
    <w:p w14:paraId="0813AF5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依据制定的性能监测模板，每月对服务器的关键性能指标进行采集与分析，包括但不限于以下内容：</w:t>
      </w:r>
      <w:r>
        <w:rPr>
          <w:rFonts w:hint="eastAsia" w:ascii="方正仿宋_GBK" w:hAnsi="方正仿宋_GBK" w:eastAsia="方正仿宋_GBK" w:cs="方正仿宋_GBK"/>
          <w:kern w:val="0"/>
          <w:sz w:val="32"/>
          <w:szCs w:val="32"/>
          <w:lang w:val="en-US" w:eastAsia="zh-CN" w:bidi="ar-SA"/>
        </w:rPr>
        <w:t>CPU：</w:t>
      </w:r>
      <w:r>
        <w:rPr>
          <w:rFonts w:hint="eastAsia" w:ascii="方正仿宋_GBK" w:hAnsi="方正仿宋_GBK" w:eastAsia="方正仿宋_GBK" w:cs="方正仿宋_GBK"/>
          <w:b w:val="0"/>
          <w:bCs/>
          <w:i w:val="0"/>
          <w:spacing w:val="0"/>
          <w:sz w:val="32"/>
          <w:szCs w:val="32"/>
          <w:lang w:val="en-US" w:eastAsia="zh-CN"/>
        </w:rPr>
        <w:t xml:space="preserve"> 使用率、运行队列长度。</w:t>
      </w:r>
      <w:r>
        <w:rPr>
          <w:rFonts w:hint="eastAsia" w:ascii="方正仿宋_GBK" w:hAnsi="方正仿宋_GBK" w:eastAsia="方正仿宋_GBK" w:cs="方正仿宋_GBK"/>
          <w:kern w:val="0"/>
          <w:sz w:val="32"/>
          <w:szCs w:val="32"/>
          <w:lang w:val="en-US" w:eastAsia="zh-CN" w:bidi="ar-SA"/>
        </w:rPr>
        <w:t>内存：</w:t>
      </w:r>
      <w:r>
        <w:rPr>
          <w:rFonts w:hint="eastAsia" w:ascii="方正仿宋_GBK" w:hAnsi="方正仿宋_GBK" w:eastAsia="方正仿宋_GBK" w:cs="方正仿宋_GBK"/>
          <w:b w:val="0"/>
          <w:bCs/>
          <w:i w:val="0"/>
          <w:spacing w:val="0"/>
          <w:sz w:val="32"/>
          <w:szCs w:val="32"/>
          <w:lang w:val="en-US" w:eastAsia="zh-CN"/>
        </w:rPr>
        <w:t xml:space="preserve"> 使用率、可用内存、交换分区/页面文件使用情况。</w:t>
      </w:r>
      <w:r>
        <w:rPr>
          <w:rFonts w:hint="eastAsia" w:ascii="方正仿宋_GBK" w:hAnsi="方正仿宋_GBK" w:eastAsia="方正仿宋_GBK" w:cs="方正仿宋_GBK"/>
          <w:kern w:val="0"/>
          <w:sz w:val="32"/>
          <w:szCs w:val="32"/>
          <w:lang w:val="en-US" w:eastAsia="zh-CN" w:bidi="ar-SA"/>
        </w:rPr>
        <w:t>网络：</w:t>
      </w:r>
      <w:r>
        <w:rPr>
          <w:rFonts w:hint="eastAsia" w:ascii="方正仿宋_GBK" w:hAnsi="方正仿宋_GBK" w:eastAsia="方正仿宋_GBK" w:cs="方正仿宋_GBK"/>
          <w:b w:val="0"/>
          <w:bCs/>
          <w:i w:val="0"/>
          <w:spacing w:val="0"/>
          <w:sz w:val="32"/>
          <w:szCs w:val="32"/>
          <w:lang w:val="en-US" w:eastAsia="zh-CN"/>
        </w:rPr>
        <w:t xml:space="preserve"> 网卡吞吐量、错误包/丢包率、连接数状态。</w:t>
      </w:r>
      <w:r>
        <w:rPr>
          <w:rFonts w:hint="eastAsia" w:ascii="方正仿宋_GBK" w:hAnsi="方正仿宋_GBK" w:eastAsia="方正仿宋_GBK" w:cs="方正仿宋_GBK"/>
          <w:kern w:val="0"/>
          <w:sz w:val="32"/>
          <w:szCs w:val="32"/>
          <w:lang w:val="en-US" w:eastAsia="zh-CN" w:bidi="ar-SA"/>
        </w:rPr>
        <w:t>存储：</w:t>
      </w:r>
      <w:r>
        <w:rPr>
          <w:rFonts w:hint="eastAsia" w:ascii="方正仿宋_GBK" w:hAnsi="方正仿宋_GBK" w:eastAsia="方正仿宋_GBK" w:cs="方正仿宋_GBK"/>
          <w:b w:val="0"/>
          <w:bCs/>
          <w:i w:val="0"/>
          <w:spacing w:val="0"/>
          <w:sz w:val="32"/>
          <w:szCs w:val="32"/>
          <w:lang w:val="en-US" w:eastAsia="zh-CN"/>
        </w:rPr>
        <w:t xml:space="preserve"> 磁盘I/O读写延迟（await）、读写IOPS、磁盘空间使用率。</w:t>
      </w:r>
    </w:p>
    <w:p w14:paraId="44F57A87">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（2）性能基准线管理：</w:t>
      </w:r>
    </w:p>
    <w:p w14:paraId="75A59AE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结合各服务器的业务应用场景（如数据库高IO、应用服务器高并发），分析并建立性能指标的基准线。当性能偏离基准线时，触发预警并进行根因分析。</w:t>
      </w:r>
    </w:p>
    <w:p w14:paraId="78C978FB">
      <w:pPr>
        <w:keepNext w:val="0"/>
        <w:keepLines w:val="0"/>
        <w:pageBreakBefore w:val="0"/>
        <w:widowControl w:val="0"/>
        <w:kinsoku/>
        <w:wordWrap/>
        <w:overflowPunct/>
        <w:topLinePunct w:val="0"/>
        <w:autoSpaceDE/>
        <w:autoSpaceDN/>
        <w:bidi w:val="0"/>
        <w:adjustRightInd/>
        <w:snapToGrid/>
        <w:spacing w:before="160" w:after="0" w:line="580" w:lineRule="exact"/>
        <w:ind w:left="0" w:leftChars="0" w:right="0" w:rightChars="0" w:firstLine="0" w:firstLine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1.1.3 操作系统与系统级维护</w:t>
      </w:r>
    </w:p>
    <w:p w14:paraId="51A943D5">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（1）系统进程与服务检查：</w:t>
      </w:r>
    </w:p>
    <w:p w14:paraId="796CBD3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定期核对关键业务进程及系统服务的运行状态，确保其持续运行且无异常资源占用（如CPU飙升、内存泄漏）。</w:t>
      </w:r>
    </w:p>
    <w:p w14:paraId="135870CA">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（2）磁盘空间管理：</w:t>
      </w:r>
    </w:p>
    <w:p w14:paraId="5A67C2C7">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监控磁盘分区使用率，设置告警阈值。定期排查系统临时文件、日志文件及应用垃圾数据，防止磁盘写满导致系统宕机。</w:t>
      </w:r>
    </w:p>
    <w:p w14:paraId="342EFE1C">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（3）系统安全加固：</w:t>
      </w:r>
    </w:p>
    <w:p w14:paraId="33A9EA48">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kern w:val="0"/>
          <w:sz w:val="32"/>
          <w:szCs w:val="32"/>
          <w:lang w:val="en-US" w:eastAsia="zh-CN" w:bidi="ar-SA"/>
        </w:rPr>
        <w:t>漏洞修补：</w:t>
      </w:r>
      <w:r>
        <w:rPr>
          <w:rFonts w:hint="eastAsia" w:ascii="方正仿宋_GBK" w:hAnsi="方正仿宋_GBK" w:eastAsia="方正仿宋_GBK" w:cs="方正仿宋_GBK"/>
          <w:b w:val="0"/>
          <w:bCs/>
          <w:i w:val="0"/>
          <w:spacing w:val="0"/>
          <w:sz w:val="32"/>
          <w:szCs w:val="32"/>
          <w:lang w:val="en-US" w:eastAsia="zh-CN"/>
        </w:rPr>
        <w:t xml:space="preserve"> 定期评估操作系统及关键组件的安全漏洞，制定补丁更新计划，在院方拥有补丁介质的前提下，协助院方进行在业务低峰期进行安全修补。</w:t>
      </w:r>
      <w:r>
        <w:rPr>
          <w:rFonts w:hint="eastAsia" w:ascii="方正仿宋_GBK" w:hAnsi="方正仿宋_GBK" w:eastAsia="方正仿宋_GBK" w:cs="方正仿宋_GBK"/>
          <w:kern w:val="0"/>
          <w:sz w:val="32"/>
          <w:szCs w:val="32"/>
          <w:lang w:val="en-US" w:eastAsia="zh-CN" w:bidi="ar-SA"/>
        </w:rPr>
        <w:t>垃圾清理：</w:t>
      </w:r>
      <w:r>
        <w:rPr>
          <w:rFonts w:hint="eastAsia" w:ascii="方正仿宋_GBK" w:hAnsi="方正仿宋_GBK" w:eastAsia="方正仿宋_GBK" w:cs="方正仿宋_GBK"/>
          <w:b w:val="0"/>
          <w:bCs/>
          <w:i w:val="0"/>
          <w:spacing w:val="0"/>
          <w:sz w:val="32"/>
          <w:szCs w:val="32"/>
          <w:lang w:val="en-US" w:eastAsia="zh-CN"/>
        </w:rPr>
        <w:t xml:space="preserve"> 定期清理系统缓存、浏览器缓存、软件更新备份文件等，释放磁盘空间。</w:t>
      </w:r>
    </w:p>
    <w:p w14:paraId="137BBD4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（4）配置与变更管理：</w:t>
      </w:r>
    </w:p>
    <w:p w14:paraId="1147C5C9">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所有涉及操作系统配置、内核参数调整、服务启停的操作，均需遵循变更管理流程，记录变更原因、操作步骤及回退方案，确保变更可追溯。</w:t>
      </w:r>
    </w:p>
    <w:p w14:paraId="271C7A00">
      <w:pPr>
        <w:keepNext w:val="0"/>
        <w:keepLines w:val="0"/>
        <w:pageBreakBefore w:val="0"/>
        <w:widowControl w:val="0"/>
        <w:kinsoku/>
        <w:wordWrap/>
        <w:overflowPunct/>
        <w:topLinePunct w:val="0"/>
        <w:autoSpaceDE/>
        <w:autoSpaceDN/>
        <w:bidi w:val="0"/>
        <w:adjustRightInd/>
        <w:snapToGrid/>
        <w:spacing w:before="160" w:after="0" w:line="580" w:lineRule="exact"/>
        <w:ind w:left="0" w:leftChars="0" w:right="0" w:rightChars="0" w:firstLine="0" w:firstLine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1.1</w:t>
      </w:r>
      <w:r>
        <w:rPr>
          <w:rFonts w:hint="eastAsia" w:ascii="方正仿宋_GBK" w:hAnsi="方正仿宋_GBK" w:eastAsia="方正仿宋_GBK" w:cs="方正仿宋_GBK"/>
          <w:b w:val="0"/>
          <w:bCs/>
          <w:i w:val="0"/>
          <w:spacing w:val="0"/>
          <w:sz w:val="32"/>
          <w:szCs w:val="32"/>
          <w:highlight w:val="none"/>
          <w:lang w:val="en-US" w:eastAsia="zh-CN"/>
        </w:rPr>
        <w:t xml:space="preserve">.4 </w:t>
      </w:r>
      <w:r>
        <w:rPr>
          <w:rFonts w:hint="eastAsia" w:ascii="方正仿宋_GBK" w:hAnsi="方正仿宋_GBK" w:eastAsia="方正仿宋_GBK" w:cs="方正仿宋_GBK"/>
          <w:b w:val="0"/>
          <w:bCs/>
          <w:i w:val="0"/>
          <w:spacing w:val="0"/>
          <w:sz w:val="32"/>
          <w:szCs w:val="32"/>
          <w:lang w:val="en-US" w:eastAsia="zh-CN"/>
        </w:rPr>
        <w:t>资产管理</w:t>
      </w:r>
    </w:p>
    <w:p w14:paraId="1602308C">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协助院方维护详细的服务器资产台账登记，包括但不限于：设备序列号、硬件配置清单（CPU/内存/硬盘型号）、IP地址、所在机柜位置、维保信息。确保服务器资产标签清晰、准确，做到</w:t>
      </w:r>
      <w:r>
        <w:rPr>
          <w:rFonts w:hint="eastAsia" w:ascii="方正仿宋_GBK" w:hAnsi="方正仿宋_GBK" w:eastAsia="方正仿宋_GBK" w:cs="方正仿宋_GBK"/>
          <w:b w:val="0"/>
          <w:bCs/>
          <w:i w:val="0"/>
          <w:spacing w:val="0"/>
          <w:sz w:val="32"/>
          <w:szCs w:val="32"/>
          <w:highlight w:val="none"/>
          <w:lang w:val="en-US" w:eastAsia="zh-CN"/>
        </w:rPr>
        <w:t>账实相符</w:t>
      </w:r>
      <w:r>
        <w:rPr>
          <w:rFonts w:hint="eastAsia" w:ascii="方正仿宋_GBK" w:hAnsi="方正仿宋_GBK" w:eastAsia="方正仿宋_GBK" w:cs="方正仿宋_GBK"/>
          <w:b w:val="0"/>
          <w:bCs/>
          <w:i w:val="0"/>
          <w:spacing w:val="0"/>
          <w:sz w:val="32"/>
          <w:szCs w:val="32"/>
          <w:lang w:val="en-US" w:eastAsia="zh-CN"/>
        </w:rPr>
        <w:t>。</w:t>
      </w:r>
    </w:p>
    <w:p w14:paraId="05448CFE">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1.2 存储设备维护</w:t>
      </w:r>
    </w:p>
    <w:p w14:paraId="1818E6A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kern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本部分服务覆盖医院存储系统平台，主要包括磁盘阵列、SAN光纤交换机及双活架构的管理与维护。服务旨在通过主动式监控、精细化容量管理和标准化的灾备恢复流程，确保医疗数据的高可靠性和业务连续性。</w:t>
      </w:r>
    </w:p>
    <w:p w14:paraId="72DE221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磁盘阵列管理： 监控磁盘阵列（控制器、硬盘、缓存、电源与散热）状态，检查SAN交换机端口及链路连接性，定期检查系统日志，识别链路抖动、端口异常或配置冲突。</w:t>
      </w:r>
    </w:p>
    <w:p w14:paraId="04F9548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双活架构维护： 定期检查双活域端口、心跳端口、仲裁服务器及远端设备的连接状态，确保冗余架构高可用。</w:t>
      </w:r>
    </w:p>
    <w:p w14:paraId="6251E3A9">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容量管理： 监控存储池容量使用情况，协助进行存储空间调整与规划。</w:t>
      </w:r>
    </w:p>
    <w:p w14:paraId="55A8714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1.3 配套基础设施维护</w:t>
      </w:r>
    </w:p>
    <w:p w14:paraId="0F3D761E">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UPS电源维护： 检查UPS主机运行参数（输入/输出电压、负载、电池状态），进行电池组充放电测试及容量核对，检查线缆连接点温度及外观。</w:t>
      </w:r>
    </w:p>
    <w:p w14:paraId="48F9BA67">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color w:val="000000" w:themeColor="text1"/>
          <w:spacing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i w:val="0"/>
          <w:color w:val="000000" w:themeColor="text1"/>
          <w:spacing w:val="0"/>
          <w:sz w:val="32"/>
          <w:szCs w:val="32"/>
          <w:lang w:val="en-US" w:eastAsia="zh-CN"/>
          <w14:textFill>
            <w14:solidFill>
              <w14:schemeClr w14:val="tx1"/>
            </w14:solidFill>
          </w14:textFill>
        </w:rPr>
        <w:t>精密空调维护： 检查空调运行状态、制冷剂液位、压缩机及加湿器工作状况，定期更换滤网，清洗灰尘，确保机房温湿度恒定。</w:t>
      </w:r>
    </w:p>
    <w:p w14:paraId="2729F152">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1.4 弱电间及综合布线维护</w:t>
      </w:r>
    </w:p>
    <w:p w14:paraId="068EE0A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线路整理： 对机柜内及配线架上的线缆（网线、光纤）进行捆扎、整理和标识更新，确保</w:t>
      </w:r>
      <w:r>
        <w:rPr>
          <w:rFonts w:hint="eastAsia" w:ascii="方正仿宋_GBK" w:hAnsi="方正仿宋_GBK" w:eastAsia="方正仿宋_GBK" w:cs="方正仿宋_GBK"/>
          <w:b w:val="0"/>
          <w:bCs/>
          <w:i w:val="0"/>
          <w:spacing w:val="0"/>
          <w:sz w:val="32"/>
          <w:szCs w:val="32"/>
          <w:highlight w:val="none"/>
          <w:lang w:val="en-US" w:eastAsia="zh-CN"/>
        </w:rPr>
        <w:t>链路</w:t>
      </w:r>
      <w:r>
        <w:rPr>
          <w:rFonts w:hint="eastAsia" w:ascii="方正仿宋_GBK" w:hAnsi="方正仿宋_GBK" w:eastAsia="方正仿宋_GBK" w:cs="方正仿宋_GBK"/>
          <w:b w:val="0"/>
          <w:bCs/>
          <w:i w:val="0"/>
          <w:spacing w:val="0"/>
          <w:sz w:val="32"/>
          <w:szCs w:val="32"/>
          <w:lang w:val="en-US" w:eastAsia="zh-CN"/>
        </w:rPr>
        <w:t>清晰可查。</w:t>
      </w:r>
    </w:p>
    <w:p w14:paraId="7E6C5D1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基础设施维护： 定期对室外光缆路由及管道井进行巡查，排查线路破损、挤压等隐患。针对院区内室外套管暗线（分布于楼宇、管道井间），运维服务人员负责故障定位与处置，并根据需要开展现场巡检。</w:t>
      </w:r>
    </w:p>
    <w:p w14:paraId="164118F0">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 软件系统运维服务</w:t>
      </w:r>
    </w:p>
    <w:p w14:paraId="56646459">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核心目标： 保障操作系统、虚拟化平台及管理软件的系统层稳定，通过配置优化与补丁管理提升软件运行效能。</w:t>
      </w:r>
    </w:p>
    <w:p w14:paraId="7B96058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2.1 服务器操作系统维护</w:t>
      </w:r>
    </w:p>
    <w:p w14:paraId="612F1CA5">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系统监控： 监控操作系统的进程与服务状态、磁盘空间使用率、系统日志。</w:t>
      </w:r>
    </w:p>
    <w:p w14:paraId="1B9EC08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补丁管理： 定期评估操作系统，并协助院方人员修补已知安全漏洞，更新关键补丁。</w:t>
      </w:r>
    </w:p>
    <w:p w14:paraId="2EB4192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故障排查：排查、 处理操作系统层面的蓝屏、死机、服务异常等问题，如需更换相关配件，需向院方提供解决方案，并协助设备厂家或院方人员处理问题。</w:t>
      </w:r>
    </w:p>
    <w:p w14:paraId="7E46B092">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2.2 虚拟化平台维护</w:t>
      </w:r>
    </w:p>
    <w:p w14:paraId="2208C66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highlight w:val="none"/>
          <w:lang w:val="en-US" w:eastAsia="zh-CN"/>
        </w:rPr>
        <w:t>2.2.1</w:t>
      </w:r>
      <w:r>
        <w:rPr>
          <w:rFonts w:hint="eastAsia" w:ascii="方正仿宋_GBK" w:hAnsi="方正仿宋_GBK" w:eastAsia="方正仿宋_GBK" w:cs="方正仿宋_GBK"/>
          <w:b w:val="0"/>
          <w:bCs/>
          <w:i w:val="0"/>
          <w:spacing w:val="0"/>
          <w:sz w:val="32"/>
          <w:szCs w:val="32"/>
          <w:lang w:val="en-US" w:eastAsia="zh-CN"/>
        </w:rPr>
        <w:t>物理资源监控与维护</w:t>
      </w:r>
    </w:p>
    <w:p w14:paraId="0FEC3820">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（1）监控物理服务器资源池物理CPU、内存使用率和总量，确保每台ESXI 主机所分担的CPU和内存的工作负载均衡。确保所有虚拟机的组合工作内存占用 不超过主机物理内存，防止因内存已过载导致系统故障。</w:t>
      </w:r>
    </w:p>
    <w:p w14:paraId="6F7865A2">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（2）监控磁盘存储资源，监控虚拟机的 I/0工作负载，包括读写IOPS 和时间延迟是否在正常值范围内。检查虚拟磁盘一致性，看存储是否异常。</w:t>
      </w:r>
    </w:p>
    <w:p w14:paraId="1A572B10">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（3）网络速率性能监控。</w:t>
      </w:r>
    </w:p>
    <w:p w14:paraId="4C96209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highlight w:val="none"/>
          <w:lang w:val="en-US" w:eastAsia="zh-CN"/>
        </w:rPr>
      </w:pPr>
      <w:r>
        <w:rPr>
          <w:rFonts w:hint="eastAsia" w:ascii="方正仿宋_GBK" w:hAnsi="方正仿宋_GBK" w:eastAsia="方正仿宋_GBK" w:cs="方正仿宋_GBK"/>
          <w:b w:val="0"/>
          <w:bCs/>
          <w:i w:val="0"/>
          <w:spacing w:val="0"/>
          <w:sz w:val="32"/>
          <w:szCs w:val="32"/>
          <w:lang w:val="en-US" w:eastAsia="zh-CN"/>
        </w:rPr>
        <w:t>（4）ESXI主机的维护，包括重新部署与安装。</w:t>
      </w:r>
      <w:r>
        <w:rPr>
          <w:rFonts w:hint="eastAsia" w:ascii="方正仿宋_GBK" w:hAnsi="方正仿宋_GBK" w:eastAsia="方正仿宋_GBK" w:cs="方正仿宋_GBK"/>
          <w:b w:val="0"/>
          <w:bCs/>
          <w:i w:val="0"/>
          <w:spacing w:val="0"/>
          <w:sz w:val="32"/>
          <w:szCs w:val="32"/>
          <w:highlight w:val="none"/>
          <w:lang w:val="en-US" w:eastAsia="zh-CN"/>
        </w:rPr>
        <w:t>（院方提供ESXI系统安装介质或为院方提供解决方案）</w:t>
      </w:r>
    </w:p>
    <w:p w14:paraId="7FC0D187">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highlight w:val="none"/>
          <w:lang w:val="en-US" w:eastAsia="zh-CN"/>
        </w:rPr>
        <w:t>2.2.2</w:t>
      </w:r>
      <w:r>
        <w:rPr>
          <w:rFonts w:hint="eastAsia" w:ascii="方正仿宋_GBK" w:hAnsi="方正仿宋_GBK" w:eastAsia="方正仿宋_GBK" w:cs="方正仿宋_GBK"/>
          <w:b w:val="0"/>
          <w:bCs/>
          <w:i w:val="0"/>
          <w:spacing w:val="0"/>
          <w:sz w:val="32"/>
          <w:szCs w:val="32"/>
          <w:lang w:val="en-US" w:eastAsia="zh-CN"/>
        </w:rPr>
        <w:t>虚拟资源监控与维护</w:t>
      </w:r>
    </w:p>
    <w:p w14:paraId="390987D5">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（1）定期维护虚拟硬盘、优化虚拟机配置等， 提升虚拟化环境的整体性能和稳定性。</w:t>
      </w:r>
    </w:p>
    <w:p w14:paraId="60EE80C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（2）协助用户进行快速部署新的虚拟机，并对操作系统进行相关调试。</w:t>
      </w:r>
    </w:p>
    <w:p w14:paraId="438CD9D8">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（3）虚拟机内存、CPU资源维护，根据业务需求并结合ESXI环境的资源分配设置(预留、限制和份额)。</w:t>
      </w:r>
    </w:p>
    <w:p w14:paraId="2D312C4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（4）虚拟机Vmotion 热迁移和冷迁移，用以完成对虚拟机所处资源的调配，以达到系统运行最佳资源利用情况。</w:t>
      </w:r>
    </w:p>
    <w:p w14:paraId="2B9C843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（5）提供VM 虚拟化系统的日常巡检，维护操作，系统故障修复及健康监测报告服务。</w:t>
      </w:r>
    </w:p>
    <w:p w14:paraId="631CDEC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 安全运维服务</w:t>
      </w:r>
    </w:p>
    <w:p w14:paraId="194C6A85">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核心目标： 构建主动防御体系，实时监测安全威胁，快速响应安全事件，满足等保合规要求。</w:t>
      </w:r>
    </w:p>
    <w:p w14:paraId="2097017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3.1 安全设备管理</w:t>
      </w:r>
    </w:p>
    <w:p w14:paraId="432A35C2">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策略配置与优化： 对防火墙、入侵检测系统、数据库审计、日志审计、漏洞扫描等设备进行策略配置、更新与定期审计。</w:t>
      </w:r>
    </w:p>
    <w:p w14:paraId="525F337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访问控制： 制定严格的访问控制策略，审计用户及系统账号的登录行为，防止违规操作。</w:t>
      </w:r>
    </w:p>
    <w:p w14:paraId="7EA540F7">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特征库： 定期检测防病毒软件、IDS/IPS等设备的病毒库和攻击特征库是否能够满足现状，如需升级更新，及时为院方提供解决方案并协助相关人员处理。</w:t>
      </w:r>
    </w:p>
    <w:p w14:paraId="5810BA3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3.2 安全监测与事件响应</w:t>
      </w:r>
    </w:p>
    <w:p w14:paraId="7BCC41AE">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实时监测： 对网络流量、服务器日志、应用系统日志进行关联分析，及时发现异常行为、病毒传播或黑客攻击。</w:t>
      </w:r>
    </w:p>
    <w:p w14:paraId="3D0AFAA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应急响应： 发生安全事件时，立即启动应急流程，进行抑制、根除和恢复，并提交详细的事故分析报告。</w:t>
      </w:r>
    </w:p>
    <w:p w14:paraId="0436827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漏洞管理： 定期对业务系统进行漏洞扫描，跟进漏洞修复进度，并完成复测验证。</w:t>
      </w:r>
    </w:p>
    <w:p w14:paraId="24FEF83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3.3 数据备份与恢复</w:t>
      </w:r>
    </w:p>
    <w:p w14:paraId="13ECB930">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如需进行数据备份与恢复，需为院方提供解决方案，并协助相关人员进行处理。</w:t>
      </w:r>
    </w:p>
    <w:p w14:paraId="5907832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4. 网络运维服务</w:t>
      </w:r>
    </w:p>
    <w:p w14:paraId="7525004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核心目标： 本部分服务覆盖医院基础网络设施、无线网络、光纤通信线路及安全设备。服务旨在通过主动式巡检、实时监控、专业优化及快速响应，降低网络故障率，提升网络运行性能和稳定性，满足网络安全等级保护要求，保障医院信息系统的顺畅运行。需要提供故障诊断、远程支持、 现场支持、网络巡检、现场培训、技术交流、 网络安全、网络建设建议等服务。具体服务内容包括但不限于如下：</w:t>
      </w:r>
    </w:p>
    <w:p w14:paraId="3E89F6C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4.1 基础网络设备维护</w:t>
      </w:r>
    </w:p>
    <w:p w14:paraId="38638042">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设备状态监控：检查核心交换机、汇聚交换机、接入交换机、路由器、OLT、ONU等设备的硬件运行状态，包括电源模块、散热风扇、单板、指示灯等，确保物理层稳定可靠；监控设备CPU、内存占有率，及时发现资源耗尽风险。</w:t>
      </w:r>
    </w:p>
    <w:p w14:paraId="25A4A21E">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链路质量监控： 监控互联端口状态，检查光模块收发功率、光衰减值，确保光链路传输质量达标；跟踪端口输入/输出流量、带宽利用率、丢包率、错包率及响应延迟，识别链路拥塞或异常。</w:t>
      </w:r>
    </w:p>
    <w:p w14:paraId="7178207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故障排查与处理： 快速定位并解决因网络环路、ARP攻击、设备中毒、配置错误等导致的网络中断、卡顿或广播风暴问题；检查网络通信状况，验证交换机端口及网线连接性，确保基础连通性正常。</w:t>
      </w:r>
    </w:p>
    <w:p w14:paraId="186BDE9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日志分析与预警： 定期查看系统日志、网络日志，检查是否存在严重告警和异常告警；识别潜在风险（如端口抖动、协议状态异常、链路误码率升高）并进行预警处理，防患于未然。</w:t>
      </w:r>
    </w:p>
    <w:p w14:paraId="7EDB511E">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4.2 无线网络维护</w:t>
      </w:r>
    </w:p>
    <w:p w14:paraId="6A8C7B7E">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AC/AP维护： 检查无线控制器（AC）和无线接入点（AP）的运行状态、在线用户数及流量负载。</w:t>
      </w:r>
    </w:p>
    <w:p w14:paraId="153246C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无线优化： 定期进行无线信号勘测（信号强度、覆盖范围、信道干扰），动态调整AP的信道、功率及接入策略，优化用户体验。</w:t>
      </w:r>
    </w:p>
    <w:p w14:paraId="6E6E9D5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4.3 光纤通信线路维护</w:t>
      </w:r>
    </w:p>
    <w:p w14:paraId="708EDA4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光模块与光链路检查： 检查设备光模块状态，包括端口速率、光功率、光衰减值、指示灯等；检测光纤收发器及光链路的传输质量，确保光功率衰减在允许范围内，保障数据传输可靠性。 </w:t>
      </w:r>
    </w:p>
    <w:p w14:paraId="37DBE4D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物理线路巡检：巡查弱电井内光纤线路，检查是否有折痕、破损或挤压，及时消除物理层故障隐患，及时提出解决方案。</w:t>
      </w:r>
    </w:p>
    <w:p w14:paraId="078C13F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三、 服务要求</w:t>
      </w:r>
    </w:p>
    <w:p w14:paraId="2A13D72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 服务模式与响应</w:t>
      </w:r>
    </w:p>
    <w:p w14:paraId="1C4575F9">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驻场与远程： 公司指派一名技术人员，提供每周一天的运维人员驻场服务。非驻场时间段7×24小时电话/远程技术支持。提供所需技术支持，技术工程师采用远程接入或者现场服务的方式指导现场人员解决问题，直至将问题解决为止。</w:t>
      </w:r>
    </w:p>
    <w:p w14:paraId="3893F83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响应时效： 服务电话保持畅通，普通咨询立即答复；当系统被确诊为系统故障，而无法通过电话、远程维护分析等手段解决时，现场技术人员立即赶赴现场进行紧急维护。承诺在1小时之内到达现场，将系统故障时间降低到最小。</w:t>
      </w:r>
    </w:p>
    <w:p w14:paraId="717EA89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 巡检与预防维护</w:t>
      </w:r>
    </w:p>
    <w:p w14:paraId="2300DB5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周期性巡检：</w:t>
      </w:r>
    </w:p>
    <w:p w14:paraId="5C35A447">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核心设备/主机房： 每月至少一次全面深度巡检。</w:t>
      </w:r>
    </w:p>
    <w:p w14:paraId="6C8A2E89">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楼层弱电间： 每月至少一次全面深度巡检。</w:t>
      </w:r>
    </w:p>
    <w:p w14:paraId="48F94E8E">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无线网络/光纤线路： 每月至少一次全面深度状态检测与记录。</w:t>
      </w:r>
    </w:p>
    <w:p w14:paraId="1F492DDC">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安全加固：根据卫健委、网信部门、网安部门、第三方安全检测机构的意见进行必要的信息系统及网络安全加固工作，对安全策略进行相应的调试配置，每季度至少一次。</w:t>
      </w:r>
    </w:p>
    <w:p w14:paraId="4F0ED735">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驻场人员：驻场日核心工作包括但不限于以下内容：</w:t>
      </w:r>
    </w:p>
    <w:p w14:paraId="6F0282B8">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200" w:right="0" w:rightChars="0" w:firstLine="320" w:firstLineChars="1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2.1分类抽检与重点保障</w:t>
      </w:r>
    </w:p>
    <w:p w14:paraId="74182EC0">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20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根据设备重要性、历史故障率及风险等级，对服务器硬件、存储设备、配套基础设施（UPS、精密空调）、软件系统、虚拟化平台、安全设备、网络设备等进行差异化抽检。核心设备（如核心交换机、虚拟化集群、双活存储）每次驻场均需全面检查；其他设备按月度全覆盖原则分批次完成抽检，确保无重大隐患遗漏。</w:t>
      </w:r>
    </w:p>
    <w:p w14:paraId="36FBC66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200"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2.2主动预防与隐患闭环</w:t>
      </w:r>
    </w:p>
    <w:p w14:paraId="3C7DEFE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20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通过硬件状态检查、性能指标分析、日志审计等方式，主动发现潜在风险（如硬件寿命预警、容量不足、配置偏差），及时制定处置方案并跟踪闭环，实现从“被动救火”向“主动预防”的转变。</w:t>
      </w:r>
    </w:p>
    <w:p w14:paraId="2FD6F080">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200"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（1）故障处置与现场响应</w:t>
      </w:r>
    </w:p>
    <w:p w14:paraId="58B370E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20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处理驻场当日发生的各类故障，并跟进遗留问题；对于需厂家配合的事项，协助院方协调沟通，确保故障高效解决。</w:t>
      </w:r>
    </w:p>
    <w:p w14:paraId="3A40FD40">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200"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（2）记录归档与沟通汇报</w:t>
      </w:r>
    </w:p>
    <w:p w14:paraId="2A2CB67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20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形成《驻场服务记录表》服务文档，记录巡检情况、处置过程、待办事项，并与院方信息科进行当面或书面汇报，确保运维工作透明、可追溯。</w:t>
      </w:r>
    </w:p>
    <w:p w14:paraId="519F10D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200"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（3）目标导向</w:t>
      </w:r>
    </w:p>
    <w:p w14:paraId="397F7392">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20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通过上述工作，实现隐患早发现、故障快处理、状态可追溯，保障医院机房与弱电井设备持续稳定运行，降低非计划性停机风险，满足医院业务7×24小时连续性要求。</w:t>
      </w:r>
    </w:p>
    <w:p w14:paraId="62AC3EF2">
      <w:pPr>
        <w:keepNext w:val="0"/>
        <w:keepLines w:val="0"/>
        <w:pageBreakBefore w:val="0"/>
        <w:widowControl w:val="0"/>
        <w:numPr>
          <w:ilvl w:val="0"/>
          <w:numId w:val="1"/>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文档与报告</w:t>
      </w:r>
    </w:p>
    <w:p w14:paraId="6B4ACBE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3.1过程记录要求</w:t>
      </w:r>
    </w:p>
    <w:p w14:paraId="3585E4B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公司每次服务均须形成完整、规范、可追溯的过程记录，包括但不限于以下文档： 驻场服务记录表、周期性巡检报</w:t>
      </w:r>
      <w:r>
        <w:rPr>
          <w:rFonts w:hint="eastAsia" w:ascii="方正仿宋_GBK" w:hAnsi="方正仿宋_GBK" w:eastAsia="方正仿宋_GBK" w:cs="方正仿宋_GBK"/>
          <w:b w:val="0"/>
          <w:bCs/>
          <w:i w:val="0"/>
          <w:spacing w:val="0"/>
          <w:sz w:val="32"/>
          <w:szCs w:val="32"/>
          <w:highlight w:val="none"/>
          <w:lang w:val="en-US" w:eastAsia="zh-CN"/>
        </w:rPr>
        <w:t>告、</w:t>
      </w:r>
      <w:r>
        <w:rPr>
          <w:rFonts w:hint="eastAsia" w:ascii="方正仿宋_GBK" w:hAnsi="方正仿宋_GBK" w:eastAsia="方正仿宋_GBK" w:cs="方正仿宋_GBK"/>
          <w:b w:val="0"/>
          <w:bCs/>
          <w:i w:val="0"/>
          <w:spacing w:val="0"/>
          <w:sz w:val="32"/>
          <w:szCs w:val="32"/>
          <w:lang w:val="en-US" w:eastAsia="zh-CN"/>
        </w:rPr>
        <w:t>故障处理报告。</w:t>
      </w:r>
    </w:p>
    <w:p w14:paraId="62F61C5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3.2报告盖章要求</w:t>
      </w:r>
    </w:p>
    <w:p w14:paraId="6767A12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公司提交的《周期性巡检报告》《故障处理报告》 须在封面或确认页加盖公司单位公章，确保报告的法律效力和责任主体明确。</w:t>
      </w:r>
    </w:p>
    <w:p w14:paraId="181BFAD5">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《驻场服务记录表》 可由公司驻场人员签字确认，并加盖公司项目章或部门章，院方信息科同时签字确认。</w:t>
      </w:r>
    </w:p>
    <w:p w14:paraId="5B4AD0B2">
      <w:pPr>
        <w:keepNext w:val="0"/>
        <w:keepLines w:val="0"/>
        <w:pageBreakBefore w:val="0"/>
        <w:widowControl w:val="0"/>
        <w:numPr>
          <w:ilvl w:val="0"/>
          <w:numId w:val="1"/>
        </w:numPr>
        <w:kinsoku/>
        <w:wordWrap/>
        <w:overflowPunct/>
        <w:topLinePunct w:val="0"/>
        <w:autoSpaceDE/>
        <w:autoSpaceDN/>
        <w:bidi w:val="0"/>
        <w:adjustRightInd/>
        <w:snapToGrid/>
        <w:spacing w:before="160" w:after="0" w:line="580" w:lineRule="exact"/>
        <w:ind w:left="0" w:leftChars="0" w:right="0" w:rightChars="0" w:firstLine="0" w:firstLine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责任认定与承担</w:t>
      </w:r>
    </w:p>
    <w:p w14:paraId="010F66CC">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公司对其提供的运维服务承担全过程、不可分割的责任，具体约定如下：</w:t>
      </w:r>
    </w:p>
    <w:p w14:paraId="3015AEE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0"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4.1责任范围</w:t>
      </w:r>
    </w:p>
    <w:p w14:paraId="659C504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公司须确保所有文档内容真实、准确、完整、可追溯，能够客观反映服务过程及技术操作。文档内容包括但不限于驻场服务记录表、周期性巡检报告、故障处理报告及配套佐证材料（照片、截图、日志等）。</w:t>
      </w:r>
    </w:p>
    <w:p w14:paraId="5456299C">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因公司文档内容不实、弄虚作假、关键信息遗漏、记录与事实不符、延迟提交或未按约定格式提交，导致院方无法核实服务履约情况、影响故障追溯、造成管理决策失误或引发审计/监管问题的，由公司承担全部责任，包括但不限于：</w:t>
      </w:r>
    </w:p>
    <w:p w14:paraId="04EACFE8">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无偿补正或重新出具相关文档；</w:t>
      </w:r>
    </w:p>
    <w:p w14:paraId="11B1F9C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承担因此给院方造成的直接经济损失；</w:t>
      </w:r>
    </w:p>
    <w:p w14:paraId="635AA80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接受院方依据合同约定的违约处理（包括扣减服务费、终止合同等）。</w:t>
      </w:r>
    </w:p>
    <w:p w14:paraId="601EB785">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因公司操作失误、巡检遗漏、判断错误、未按规范执行、响应不及时等公司原因，导致以下情形之一的，由公司承担全部责任：</w:t>
      </w:r>
    </w:p>
    <w:p w14:paraId="0E4763B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设备损坏、数据丢失或损坏；</w:t>
      </w:r>
    </w:p>
    <w:p w14:paraId="4E54DC1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业务系统非计划性中断；</w:t>
      </w:r>
    </w:p>
    <w:p w14:paraId="0A62B16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leftChars="0"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其他因公司履约不当导致的直接或间接损失。</w:t>
      </w:r>
    </w:p>
    <w:p w14:paraId="02591EE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5.数据安全与保密：</w:t>
      </w:r>
    </w:p>
    <w:p w14:paraId="4B959D2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5.1 合同双方在签订和履行本合同过程中所知悉的对方的技术秘密、商业秘密以及与本项目相关的所有信息（以下统称“保密信息”），无论在本合同期限内还是合同终止后，均应严格保密。双方应共同遵守《中华人民共和国反不正当竞争法》《中华人民共和国数据安全法》《中华人民共和国个人信息保护法》等法律法规的规定，相互尊重对方的知识产权。</w:t>
      </w:r>
    </w:p>
    <w:p w14:paraId="678CA3EE">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5.2 未经一方事先书面授权，任何一方不得以任何形式向任何第三方泄露、转让、许可使用、交换、赠予或与任何第三方共同使用或不正当使用保密信息。违反本条规定，给对方造成损失的，违约方应承担相应的法律责任。</w:t>
      </w:r>
    </w:p>
    <w:p w14:paraId="260BA0D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5.3 保密信息包括但不限于：技术实施方案、产品信息、用户手册、软件代码、系统架构、运营数据、用户信息、业务数据、项目资料、商务信息，以及双方以口头、书面、电子或其他形式披露的明确标注为保密或依其性质应被视为保密的信息。</w:t>
      </w:r>
    </w:p>
    <w:p w14:paraId="10B2B34A">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5.4 公司特别承诺，对于在服务过程中接触、收集、处理或以其他方式知悉的医院相关数据（包括但不限于患者信息、诊疗数据、医疗记录、运营管理数据、系统日志等），均属于保密信息的核心组成部分。公司应严格遵守《中华人民共和国个人信息保护法》《中华人民共和国数据安全法》等相关法律法规，仅在本合同约定的服务范围内使用上述数据，不得用于任何其他目的，不得以任何形式向任何第三方泄露、提供或允许其使用，并在合同终止后按照院方要求返还或销毁相关数据。</w:t>
      </w:r>
    </w:p>
    <w:p w14:paraId="1E1F541E">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5.5 公司保证，院方在使用公司根据本合同提供的产品或服务时，如因公司原因导致院方遭受第三方提出的侵犯其专利权、商标权、工业设计权或其他知识产权的起诉，由公司承担相应责任，并赔偿因此给院方造成的损失。</w:t>
      </w:r>
    </w:p>
    <w:p w14:paraId="0E39F3B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5.6 本保密条款具有独立性，不因本合同的变更、解除或终止而失效。</w:t>
      </w:r>
    </w:p>
    <w:p w14:paraId="5C78DFE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320" w:firstLineChars="100"/>
        <w:jc w:val="left"/>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6.运维基础设备清单（包括</w:t>
      </w:r>
      <w:r>
        <w:rPr>
          <w:rFonts w:hint="eastAsia" w:ascii="方正仿宋_GBK" w:hAnsi="方正仿宋_GBK" w:eastAsia="方正仿宋_GBK" w:cs="方正仿宋_GBK"/>
          <w:b w:val="0"/>
          <w:bCs/>
          <w:i w:val="0"/>
          <w:spacing w:val="0"/>
          <w:sz w:val="32"/>
          <w:szCs w:val="32"/>
          <w:highlight w:val="none"/>
          <w:lang w:val="en-US" w:eastAsia="zh-CN"/>
        </w:rPr>
        <w:t>但不</w:t>
      </w:r>
      <w:r>
        <w:rPr>
          <w:rFonts w:hint="eastAsia" w:ascii="方正仿宋_GBK" w:hAnsi="方正仿宋_GBK" w:eastAsia="方正仿宋_GBK" w:cs="方正仿宋_GBK"/>
          <w:b w:val="0"/>
          <w:bCs/>
          <w:i w:val="0"/>
          <w:spacing w:val="0"/>
          <w:sz w:val="32"/>
          <w:szCs w:val="32"/>
          <w:lang w:val="en-US" w:eastAsia="zh-CN"/>
        </w:rPr>
        <w:t>限于以下设备）见附件：</w:t>
      </w:r>
    </w:p>
    <w:p w14:paraId="6A7504B1">
      <w:pPr>
        <w:pStyle w:val="2"/>
        <w:jc w:val="left"/>
        <w:rPr>
          <w:rFonts w:hint="eastAsia" w:ascii="方正仿宋_GBK" w:hAnsi="方正仿宋_GBK" w:eastAsia="方正仿宋_GBK" w:cs="方正仿宋_GBK"/>
          <w:b w:val="0"/>
          <w:bCs/>
          <w:sz w:val="20"/>
          <w:szCs w:val="10"/>
          <w:lang w:val="en-US" w:eastAsia="zh-CN"/>
        </w:rPr>
      </w:pPr>
      <w:bookmarkStart w:id="0" w:name="_GoBack"/>
      <w:bookmarkEnd w:id="0"/>
    </w:p>
    <w:p w14:paraId="6AD005D4">
      <w:pPr>
        <w:bidi w:val="0"/>
        <w:rPr>
          <w:rFonts w:hint="eastAsia"/>
          <w:lang w:val="en-US" w:eastAsia="zh-CN"/>
        </w:rPr>
      </w:pPr>
    </w:p>
    <w:tbl>
      <w:tblPr>
        <w:tblStyle w:val="9"/>
        <w:tblW w:w="86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2790"/>
        <w:gridCol w:w="3180"/>
        <w:gridCol w:w="870"/>
        <w:gridCol w:w="915"/>
      </w:tblGrid>
      <w:tr w14:paraId="7807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64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94B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信阳市人民医院基础设备清单</w:t>
            </w:r>
          </w:p>
        </w:tc>
      </w:tr>
      <w:tr w14:paraId="50F7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F8787">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序号</w:t>
            </w: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9EBB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设备名称</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FCCC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规格型号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34DC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CA14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数量</w:t>
            </w:r>
          </w:p>
        </w:tc>
      </w:tr>
      <w:tr w14:paraId="01D44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1607">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A58E2">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网络及安全系统</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B8C1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F250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8387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p>
        </w:tc>
      </w:tr>
      <w:tr w14:paraId="78B6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10E03">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1A19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外网核心交换机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33D2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S7510E-X</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02F9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7107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5DCF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A76B1">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7273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内网核心交换机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7B05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S7510E-X</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2DEB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0B71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00D0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4CE9A">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07BB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服务器汇聚交换机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4A8D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5560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50E1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FB35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53B8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A73A9">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8E94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光纤交换机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4B7D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博科 Brocade 6510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C456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9A8A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w:t>
            </w:r>
          </w:p>
        </w:tc>
      </w:tr>
      <w:tr w14:paraId="0A08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49261">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6D3B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网闸</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B3F4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网神 Secworld</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E2FF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4571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15AD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1CE65">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4400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数字认证</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616A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BJCA</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0ACD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A455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w:t>
            </w:r>
          </w:p>
        </w:tc>
      </w:tr>
      <w:tr w14:paraId="241A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4FFA3">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7B0B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数字认证</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83FA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安信天行</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59D3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F1D8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0941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A5297">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7D52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服务器汇聚交换机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7142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S6520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978A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7C5C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5E2F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D9DFE">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B347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GPS时钟系统</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C02E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BKS-3211</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EB80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EDB0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78FD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F41DF">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53B4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三层交换机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85F1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华为 quidway S9306</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DE38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537A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01D9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9E939">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8845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POE交换机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A9B1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WT1024-X</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DEC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00E1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7E6D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FC87E">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C132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天融信防火墙</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5635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NGFW4000-UF</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1A93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A305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w:t>
            </w:r>
          </w:p>
        </w:tc>
      </w:tr>
      <w:tr w14:paraId="6369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EA499">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8367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942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S5130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85D3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0FA3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6DB6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66462">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A51C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日志审计</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B1B0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云智新安 YZ-IAS-4000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F125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08F9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7D0D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B6EE0">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9C3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工伤保险VPN设备</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F4DF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安达通信 SJW74AP</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E2F5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8A88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0E1F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146B0">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8465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天清应用交付控制系统</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73AF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启明星辰 ADC4001</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586C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4DC8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4E4C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A776B">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A80C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负载均衡</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1B8F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天融信 TopApp-NLB</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05CA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1E71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366B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EEE3A">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883C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安全网闸</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66C8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天融信 TopRules-71144</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ED24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C426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1EF9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1737F">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4027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VPN</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D85D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天融信 TopVPN-41710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0F29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5D87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6749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D827A">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4AA3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数据库审计</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8C79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天融信 TopAudit-DB</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72D9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5CCE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653C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44B14">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8626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堡垒机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53AF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天融信 TA-SAG</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0BB3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EC94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0031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BA20D">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D039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入侵防御</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F55E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天融信 TopIDP</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251E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3B1B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1EC3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1B002">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2286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路由器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0F9D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OptiX PTN 910E-F</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2719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245B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0492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F0EF">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4690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负载均衡</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B1A0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SecPath L1030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F228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3D21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3418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E7ACF">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D08E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上网行为管理</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1561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天融信 TopAcm-51614</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33EE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28AF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7A96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C055B">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6992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内网防火墙</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BE43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天融信 NGFW4000-52218</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98D5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39D0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324C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20A1C">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495D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内网防火墙</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13DF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天融信 NGFW4000-62242</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F14B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49E1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6803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2DB5F">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BDD0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态势感知</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DDDD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天融信 Topsentry</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EB37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B783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6D00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39016">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985A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大华录像机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78C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DH-NVR</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7FEA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6CF2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0015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EEA59">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F689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物联网设备</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69C5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consenwell IPAC01</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9A84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8EC3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701B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3F040">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B04E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公安审计</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8963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Byzoro PatrolFlow-AM</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59F1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F88A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29D4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27022">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9CA4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弱电井-内网汇聚交换机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70F5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S6800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3607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3C72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w:t>
            </w:r>
          </w:p>
        </w:tc>
      </w:tr>
      <w:tr w14:paraId="01A6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BB902">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3999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弱电井-外网汇聚交换机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0648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S5560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7EE0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BD4B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w:t>
            </w:r>
          </w:p>
        </w:tc>
      </w:tr>
      <w:tr w14:paraId="21FF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C8003">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E6B6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弱电井-接入交换机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3FBE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S5130 Series</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A0D8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F313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195</w:t>
            </w:r>
          </w:p>
        </w:tc>
      </w:tr>
      <w:tr w14:paraId="3697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83351">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C050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弱电井-设备网接入交换机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8834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华为 S2700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95FA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179D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55</w:t>
            </w:r>
          </w:p>
        </w:tc>
      </w:tr>
      <w:tr w14:paraId="3691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A7D8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F80D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服务器及存储系统</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7E6C5">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9DC8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DB212">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p>
        </w:tc>
      </w:tr>
      <w:tr w14:paraId="671D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2EAC8">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7494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虚拟化服务器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2FCD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system X3850 X6</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D33E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EB35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7</w:t>
            </w:r>
          </w:p>
        </w:tc>
      </w:tr>
      <w:tr w14:paraId="2C7A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AC940">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C05E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HIS数据库服务器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C169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system X3850 X6</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1D18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0123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7B2A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252D0">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AA18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CDR数据实体</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7DA9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system X3850 X6</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ED61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8949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18635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8A491">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8CEF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医院数据集市</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4E16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system X3850 X6</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EB3A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AFE4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0267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B226">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F37B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ODS中心数据库服务器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3678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system X3850 X6</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2C8C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8D78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5BE3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D73D5">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5151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HIS 数据库容灾服务器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4648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system X3850 X6</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36BD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6920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61E6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08594">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9569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DADE服务器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B609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system X3850 X6</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0662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77A5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w:t>
            </w:r>
          </w:p>
        </w:tc>
      </w:tr>
      <w:tr w14:paraId="76AA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A4DFD">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AA22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PACS影像服务器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246C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system X3650 m5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79DD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8910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212B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C27E2">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D531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PACS后端数据库服务器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0FC1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system X3850 X6</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08EF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7CB1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43CC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80D74">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ED6F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知网服务器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FF98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Dell powerEdge T150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C029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30EB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211F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46301">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CFC3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远图数据库服务器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DD2F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华为 2288H V5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06E9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8AF5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18E8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02A25">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CEE2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业务服务器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3394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Dell powerEdge R630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F478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57BE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32FB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3A147">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F2A5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业务服务器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C1EE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Dell powerEdge R730 XD</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6F4A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B4FA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35B6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0E518">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4B72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OEM服务器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EDC3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peewee</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664C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5B0A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464D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F7051">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63AC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OEM服务器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7EEB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peewee</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D8C2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9936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18385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E48C2">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6149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芯联达服务器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FDA0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华为 Rh1288 V3</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DFD7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4865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2E52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E4D41">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2F51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主域服务器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DEB8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system X3650 m5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C8DB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D0CD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3AA4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FFCFF">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1553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备份虚拟化服务器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E8E9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system X3650 m5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86AC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4F03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204B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A62DF">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95E5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前置机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6012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泰康人寿</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B4DD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F065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6DBD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23505">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5F99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688F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Dell powerEdge R730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8AA3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839D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448E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A620A">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41D5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前置机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FFAB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system X3650 m5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6BDA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6E75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w:t>
            </w:r>
          </w:p>
        </w:tc>
      </w:tr>
      <w:tr w14:paraId="4CAE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FED37">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51A7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前置机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F9A7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Dell powerEdge R620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B8D9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4074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5E35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AD9B">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050D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前置机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A952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Dell powerEdge R730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659D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0769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w:t>
            </w:r>
          </w:p>
        </w:tc>
      </w:tr>
      <w:tr w14:paraId="70C9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5B505">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94FB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CAE6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全面健康平台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2749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6C9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31F5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336C">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41DB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633D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Dell powerEdge R250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2486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5240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5EC5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C8595">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5165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1742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Dell powerEdge R240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A3AD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4B76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7BC7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F8A75">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C2D4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电子票据服务器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3134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华为 2288H V5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84E1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A22A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189D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9376B">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0DE7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远图前置</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7DE8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华为 2288H V5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FB4C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B161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57D7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20BD0">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70D9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业务服务器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DB40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Dell powerEdge R740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099C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2C4D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6454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DF2D8">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19CA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E157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UniServer R4900 G5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020D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C253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8</w:t>
            </w:r>
          </w:p>
        </w:tc>
      </w:tr>
      <w:tr w14:paraId="24E5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D5407">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0D76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centos8服务器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3F6E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centos</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EDC4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592D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w:t>
            </w:r>
          </w:p>
        </w:tc>
      </w:tr>
      <w:tr w14:paraId="16E3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C2A53">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3886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B9F1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UniServer R4900 G5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B819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8D26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10</w:t>
            </w:r>
          </w:p>
        </w:tc>
      </w:tr>
      <w:tr w14:paraId="3B6B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7EE20">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9B96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网络视频存储服务器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D916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DH-Evs5248s</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F3D8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E5CF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626F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8C255">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A872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流媒体存储及转发服务器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652F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加恩 JN-6NT16R</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1AAC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F9EF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4</w:t>
            </w:r>
          </w:p>
        </w:tc>
      </w:tr>
      <w:tr w14:paraId="7A28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6C2F2">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431B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视频存储服务器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4215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DH-Evs5248s</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38F9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928E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w:t>
            </w:r>
          </w:p>
        </w:tc>
      </w:tr>
      <w:tr w14:paraId="3B96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47CFD">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01D8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管理平台服务器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A164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DH-ICC-B8900S5A HW-U64</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169A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3F83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19E5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8E5C0">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F736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51AC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浪潮CS5280K2</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76A3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2CDE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6C91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87658">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6FD2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HIS 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AF05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Uniserver R6900 G5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042B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59A7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000C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721E8">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1E3D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电子病历数据库服务器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49DA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Uniserver R6900 G5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5E1D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835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06C4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BD329">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9796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C7F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超聚变2288H V5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BB0F5">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7DA9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7364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37848">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484F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1D10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R6900 G5</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DB68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ADC2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4</w:t>
            </w:r>
          </w:p>
        </w:tc>
      </w:tr>
      <w:tr w14:paraId="1069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745FC">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8FD0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视频服务器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032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DH R4700 G3</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806D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3FA2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0D61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43A73">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3011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虚拟化存储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097D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IBM storwize V7000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DBA0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0C35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8</w:t>
            </w:r>
          </w:p>
        </w:tc>
      </w:tr>
      <w:tr w14:paraId="77DC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2E470">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67DC">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备份一体机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DC9D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浪擎 dx2100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E175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57DD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6DF9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48AEA">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7CBC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存储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EEA7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UniStor CF 5040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7900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6876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6E18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B4939">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F7F9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HIS存储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3417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H3C UniStor CF5000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4F23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1369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64BF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EEC85">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F8FB9">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磁盘阵列柜</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8467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加恩 Canen</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75470">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3364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14</w:t>
            </w:r>
          </w:p>
        </w:tc>
      </w:tr>
      <w:tr w14:paraId="682E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05499">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8FF3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医废存储</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1914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海康</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DE78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6BC6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3E5C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E4FA">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8BB8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监控磁盘阵列</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5F5C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DH-Evs5124s</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990F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1A1C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233E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B62A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3</w:t>
            </w: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1DC38">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机房配电系统</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EFEE">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69AC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DA3C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p>
        </w:tc>
      </w:tr>
      <w:tr w14:paraId="6028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1D87C">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B8CF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配电柜</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BDD7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Acrel（安科瑞）</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2581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C07A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4BCF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B2DAE">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89D6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配电柜</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07A7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定制</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FBE9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2D75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163A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736A5">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4</w:t>
            </w: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C452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精密空调</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35733">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2B7E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2D89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640" w:firstLineChars="200"/>
              <w:jc w:val="center"/>
              <w:textAlignment w:val="auto"/>
              <w:rPr>
                <w:rFonts w:hint="eastAsia" w:ascii="方正仿宋_GBK" w:hAnsi="方正仿宋_GBK" w:eastAsia="方正仿宋_GBK" w:cs="方正仿宋_GBK"/>
                <w:b w:val="0"/>
                <w:bCs/>
                <w:i w:val="0"/>
                <w:spacing w:val="0"/>
                <w:sz w:val="32"/>
                <w:szCs w:val="32"/>
                <w:lang w:val="en-US" w:eastAsia="zh-CN"/>
              </w:rPr>
            </w:pPr>
          </w:p>
        </w:tc>
      </w:tr>
      <w:tr w14:paraId="627C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08E20">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A45C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精密空调</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C951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艾默生 VERTIV</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0B76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5C39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118A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8AE2E">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1E3C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单冷精密空调（12.5KW）</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D9923">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商宇AM13UH</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31BCA">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ED42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39F1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50F47">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9061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单冷精密空调（7.9KW）</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5935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商宇AM8UH</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24878">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2D82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1</w:t>
            </w:r>
          </w:p>
        </w:tc>
      </w:tr>
      <w:tr w14:paraId="6895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D5B28">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w:t>
            </w: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2BC47">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UPS系统</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39ED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山特</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A9D90">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一套</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711EC">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5台主机及配套电池</w:t>
            </w:r>
          </w:p>
        </w:tc>
      </w:tr>
      <w:tr w14:paraId="5E7B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6136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灾备机房</w:t>
            </w: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738F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20kVA UPS主机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0ABD2">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商宇HP3120H</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73D80">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549B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2</w:t>
            </w:r>
          </w:p>
        </w:tc>
      </w:tr>
      <w:tr w14:paraId="3F61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FFD90">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A9A54">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蓄电池</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93612">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商宇GW12100</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B50D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1848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64</w:t>
            </w:r>
          </w:p>
        </w:tc>
      </w:tr>
      <w:tr w14:paraId="67ED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17D99">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CD066">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UPS主机</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D0EC1">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SANTAK</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D23BB">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台</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DD3D">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5</w:t>
            </w:r>
          </w:p>
        </w:tc>
      </w:tr>
      <w:tr w14:paraId="3471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5141F">
            <w:pPr>
              <w:jc w:val="center"/>
              <w:rPr>
                <w:rFonts w:hint="eastAsia" w:ascii="方正仿宋_GBK" w:hAnsi="方正仿宋_GBK" w:eastAsia="方正仿宋_GBK" w:cs="方正仿宋_GBK"/>
                <w:b w:val="0"/>
                <w:bCs/>
                <w:i w:val="0"/>
                <w:spacing w:val="0"/>
                <w:sz w:val="32"/>
                <w:szCs w:val="32"/>
                <w:lang w:val="en-US" w:eastAsia="zh-CN"/>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4919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电池</w:t>
            </w:r>
          </w:p>
        </w:tc>
        <w:tc>
          <w:tcPr>
            <w:tcW w:w="31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0702E">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SANTAK</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7F127">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块</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42DCF">
            <w:pPr>
              <w:keepNext w:val="0"/>
              <w:keepLines w:val="0"/>
              <w:widowControl/>
              <w:suppressLineNumbers w:val="0"/>
              <w:jc w:val="center"/>
              <w:textAlignment w:val="center"/>
              <w:rPr>
                <w:rFonts w:hint="eastAsia" w:ascii="方正仿宋_GBK" w:hAnsi="方正仿宋_GBK" w:eastAsia="方正仿宋_GBK" w:cs="方正仿宋_GBK"/>
                <w:b w:val="0"/>
                <w:bCs/>
                <w:i w:val="0"/>
                <w:spacing w:val="0"/>
                <w:sz w:val="32"/>
                <w:szCs w:val="32"/>
                <w:lang w:val="en-US" w:eastAsia="zh-CN"/>
              </w:rPr>
            </w:pPr>
            <w:r>
              <w:rPr>
                <w:rFonts w:hint="eastAsia" w:ascii="方正仿宋_GBK" w:hAnsi="方正仿宋_GBK" w:eastAsia="方正仿宋_GBK" w:cs="方正仿宋_GBK"/>
                <w:b w:val="0"/>
                <w:bCs/>
                <w:i w:val="0"/>
                <w:spacing w:val="0"/>
                <w:sz w:val="32"/>
                <w:szCs w:val="32"/>
                <w:lang w:val="en-US" w:eastAsia="zh-CN"/>
              </w:rPr>
              <w:t>480</w:t>
            </w:r>
          </w:p>
        </w:tc>
      </w:tr>
    </w:tbl>
    <w:p w14:paraId="79B1E029">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center"/>
        <w:textAlignment w:val="auto"/>
        <w:rPr>
          <w:rFonts w:hint="eastAsia" w:ascii="方正仿宋_GBK" w:hAnsi="方正仿宋_GBK" w:eastAsia="方正仿宋_GBK" w:cs="方正仿宋_GBK"/>
          <w:b w:val="0"/>
          <w:bCs/>
          <w:i w:val="0"/>
          <w:spacing w:val="0"/>
          <w:sz w:val="32"/>
          <w:szCs w:val="32"/>
          <w:lang w:val="en-US" w:eastAsia="zh-CN"/>
        </w:rPr>
      </w:pPr>
    </w:p>
    <w:sectPr>
      <w:pgSz w:w="12240" w:h="15840"/>
      <w:pgMar w:top="1440" w:right="1800" w:bottom="1440" w:left="180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3FBF4A17-1BDD-4CFA-A779-B6A05FF1CB24}"/>
  </w:font>
  <w:font w:name="方正仿宋_GBK">
    <w:panose1 w:val="02000000000000000000"/>
    <w:charset w:val="86"/>
    <w:family w:val="auto"/>
    <w:pitch w:val="default"/>
    <w:sig w:usb0="A00002BF" w:usb1="38CF7CFA" w:usb2="00082016" w:usb3="00000000" w:csb0="00040001" w:csb1="00000000"/>
    <w:embedRegular r:id="rId2" w:fontKey="{F96128EB-3D1F-4374-A4FC-87EB2D04116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06D93"/>
    <w:multiLevelType w:val="singleLevel"/>
    <w:tmpl w:val="68706D93"/>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4A62"/>
    <w:rsid w:val="02D908B8"/>
    <w:rsid w:val="04952304"/>
    <w:rsid w:val="07B62F76"/>
    <w:rsid w:val="07E07FF3"/>
    <w:rsid w:val="094C2CC7"/>
    <w:rsid w:val="0C4A1A2C"/>
    <w:rsid w:val="0CDB719F"/>
    <w:rsid w:val="0D15610F"/>
    <w:rsid w:val="0E640216"/>
    <w:rsid w:val="10BB1A44"/>
    <w:rsid w:val="11041C42"/>
    <w:rsid w:val="11C2240C"/>
    <w:rsid w:val="127B49BD"/>
    <w:rsid w:val="16B0636F"/>
    <w:rsid w:val="18381C94"/>
    <w:rsid w:val="1848548D"/>
    <w:rsid w:val="18866A6E"/>
    <w:rsid w:val="1BF2253F"/>
    <w:rsid w:val="1C2B182A"/>
    <w:rsid w:val="1DDE5877"/>
    <w:rsid w:val="1F271DD6"/>
    <w:rsid w:val="1F890C20"/>
    <w:rsid w:val="1FAE1CCF"/>
    <w:rsid w:val="1FC73044"/>
    <w:rsid w:val="22AF51FA"/>
    <w:rsid w:val="24040B99"/>
    <w:rsid w:val="24FF1385"/>
    <w:rsid w:val="28CF3A40"/>
    <w:rsid w:val="2A720B27"/>
    <w:rsid w:val="2AED1E7F"/>
    <w:rsid w:val="2BAE6D2A"/>
    <w:rsid w:val="2E8C65BF"/>
    <w:rsid w:val="2F0C5073"/>
    <w:rsid w:val="2F620D73"/>
    <w:rsid w:val="2FD95062"/>
    <w:rsid w:val="3043493A"/>
    <w:rsid w:val="319C292D"/>
    <w:rsid w:val="33B169E4"/>
    <w:rsid w:val="34C87A62"/>
    <w:rsid w:val="35887A23"/>
    <w:rsid w:val="363B7446"/>
    <w:rsid w:val="36C62A73"/>
    <w:rsid w:val="375663DE"/>
    <w:rsid w:val="38107113"/>
    <w:rsid w:val="3A060172"/>
    <w:rsid w:val="3ACA4067"/>
    <w:rsid w:val="3D233523"/>
    <w:rsid w:val="3E3B73FC"/>
    <w:rsid w:val="3F4F0FDF"/>
    <w:rsid w:val="42CE66BF"/>
    <w:rsid w:val="433060EC"/>
    <w:rsid w:val="437435D8"/>
    <w:rsid w:val="44BE1565"/>
    <w:rsid w:val="45E84038"/>
    <w:rsid w:val="471D19C3"/>
    <w:rsid w:val="4781564B"/>
    <w:rsid w:val="48C127C8"/>
    <w:rsid w:val="4AE178D7"/>
    <w:rsid w:val="4AF54FAE"/>
    <w:rsid w:val="4B481325"/>
    <w:rsid w:val="4E6B74B7"/>
    <w:rsid w:val="51461BDC"/>
    <w:rsid w:val="51586419"/>
    <w:rsid w:val="525536F0"/>
    <w:rsid w:val="53B35126"/>
    <w:rsid w:val="54D7298C"/>
    <w:rsid w:val="56C82147"/>
    <w:rsid w:val="577D3C16"/>
    <w:rsid w:val="5865762E"/>
    <w:rsid w:val="58801DB1"/>
    <w:rsid w:val="588222BE"/>
    <w:rsid w:val="59CB0A78"/>
    <w:rsid w:val="5B751975"/>
    <w:rsid w:val="5EC30862"/>
    <w:rsid w:val="5F387265"/>
    <w:rsid w:val="5F7F24C8"/>
    <w:rsid w:val="60CF1FB5"/>
    <w:rsid w:val="610C2589"/>
    <w:rsid w:val="62206ADF"/>
    <w:rsid w:val="62252D9B"/>
    <w:rsid w:val="63C10554"/>
    <w:rsid w:val="640D643A"/>
    <w:rsid w:val="663E6D70"/>
    <w:rsid w:val="666B03D0"/>
    <w:rsid w:val="66A355E9"/>
    <w:rsid w:val="670C3A59"/>
    <w:rsid w:val="67776250"/>
    <w:rsid w:val="68E77B6B"/>
    <w:rsid w:val="699A6627"/>
    <w:rsid w:val="6A5D1575"/>
    <w:rsid w:val="6B6600B8"/>
    <w:rsid w:val="6E1D4599"/>
    <w:rsid w:val="6E6B4F43"/>
    <w:rsid w:val="73E76F10"/>
    <w:rsid w:val="78C334C2"/>
    <w:rsid w:val="7A303D8B"/>
    <w:rsid w:val="7A6335B5"/>
    <w:rsid w:val="7B13675F"/>
    <w:rsid w:val="7B7A6E08"/>
    <w:rsid w:val="7BDF4EBD"/>
    <w:rsid w:val="7CD52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next w:val="1"/>
    <w:qFormat/>
    <w:uiPriority w:val="0"/>
    <w:rPr>
      <w:rFonts w:ascii="楷体_GB2312" w:hAnsi="Arial" w:eastAsia="楷体_GB2312"/>
      <w:kern w:val="0"/>
      <w:sz w:val="20"/>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Table Text"/>
    <w:basedOn w:val="1"/>
    <w:semiHidden/>
    <w:qFormat/>
    <w:uiPriority w:val="0"/>
    <w:rPr>
      <w:rFonts w:ascii="宋体" w:hAnsi="宋体" w:eastAsia="宋体" w:cs="宋体"/>
      <w:sz w:val="28"/>
      <w:szCs w:val="28"/>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4f3a52a1-ad9c-4f37-9682-fe09f9ce158c</errorID>
      <errorWord>(</errorWord>
      <group>L1_Format</group>
      <groupName>格式问题</groupName>
      <ability>L2_HalfPunc</ability>
      <abilityName>全半角检查</abilityName>
      <candidateList>
        <item>（</item>
      </candidateList>
      <explain>文本全半角错误。</explain>
      <paraID>7BE78BFE</paraID>
      <start>6</start>
      <end>7</end>
      <status>unmodified</status>
      <modifiedWord/>
      <trackRevisions>false</trackRevisions>
    </reviewItem>
    <reviewItem>
      <errorID>87f6cebb-017a-4731-8d78-4d9d0f3699ff</errorID>
      <errorWord>)</errorWord>
      <group>L1_Format</group>
      <groupName>格式问题</groupName>
      <ability>L2_HalfPunc</ability>
      <abilityName>全半角检查</abilityName>
      <candidateList>
        <item>）</item>
      </candidateList>
      <explain>文本全半角错误。</explain>
      <paraID>7BE78BFE</paraID>
      <start>17</start>
      <end>18</end>
      <status>unmodified</status>
      <modifiedWord/>
      <trackRevisions>false</trackRevisions>
    </reviewItem>
    <reviewItem>
      <errorID>73f49e84-7f03-47ab-b470-fd6977eb8998</errorID>
      <errorWord>(</errorWord>
      <group>L1_Format</group>
      <groupName>格式问题</groupName>
      <ability>L2_HalfPunc</ability>
      <abilityName>全半角检查</abilityName>
      <candidateList>
        <item>（</item>
      </candidateList>
      <explain>文本全半角错误。</explain>
      <paraID>438CD9D8</paraID>
      <start>39</start>
      <end>40</end>
      <status>unmodified</status>
      <modifiedWord/>
      <trackRevisions>false</trackRevisions>
    </reviewItem>
    <reviewItem>
      <errorID>b08d4cda-a26e-4070-87c3-23b771416e53</errorID>
      <errorWord>)</errorWord>
      <group>L1_Format</group>
      <groupName>格式问题</groupName>
      <ability>L2_HalfPunc</ability>
      <abilityName>全半角检查</abilityName>
      <candidateList>
        <item>）</item>
      </candidateList>
      <explain>文本全半角错误。</explain>
      <paraID>438CD9D8</paraID>
      <start>48</start>
      <end>49</end>
      <status>unmodified</status>
      <modifiedWord/>
      <trackRevisions>false</trackRevisions>
    </reviewItem>
    <reviewItem>
      <errorID>39935070-ed00-4ec7-99b8-0fe31cb232b0</errorID>
      <errorWord>-</errorWord>
      <group>L1_Format</group>
      <groupName>格式问题</groupName>
      <ability>L2_HalfPunc</ability>
      <abilityName>全半角检查</abilityName>
      <candidateList>
        <item>－</item>
      </candidateList>
      <explain>文本全半角错误。</explain>
      <paraID>5859CA42</paraID>
      <start>3</start>
      <end>4</end>
      <status>unmodified</status>
      <modifiedWord/>
      <trackRevisions>false</trackRevisions>
    </reviewItem>
    <reviewItem>
      <errorID>d5566ead-6e9b-4dcd-9836-29affd11bdb1</errorID>
      <errorWord>-</errorWord>
      <group>L1_Format</group>
      <groupName>格式问题</groupName>
      <ability>L2_HalfPunc</ability>
      <abilityName>全半角检查</abilityName>
      <candidateList>
        <item>－</item>
      </candidateList>
      <explain>文本全半角错误。</explain>
      <paraID>47139999</paraID>
      <start>3</start>
      <end>4</end>
      <status>unmodified</status>
      <modifiedWord/>
      <trackRevisions>false</trackRevisions>
    </reviewItem>
    <reviewItem>
      <errorID>2ee87478-576b-43fc-ba6c-e50612693866</errorID>
      <errorWord>-</errorWord>
      <group>L1_Format</group>
      <groupName>格式问题</groupName>
      <ability>L2_HalfPunc</ability>
      <abilityName>全半角检查</abilityName>
      <candidateList>
        <item>－</item>
      </candidateList>
      <explain>文本全半角错误。</explain>
      <paraID>60EE6B6C</paraID>
      <start>3</start>
      <end>4</end>
      <status>unmodified</status>
      <modifiedWord/>
      <trackRevisions>false</trackRevisions>
    </reviewItem>
    <reviewItem>
      <errorID>85154092-8ed0-48a9-84de-5cad3baa7359</errorID>
      <errorWord>KW</errorWord>
      <group>L1_Word</group>
      <groupName>字词问题</groupName>
      <ability>L2_Typo</ability>
      <abilityName>字词错误</abilityName>
      <candidateList>
        <item>kW</item>
      </candidateList>
      <explain/>
      <paraID>1EB1E3CF</paraID>
      <start>11</start>
      <end>13</end>
      <status>unmodified</status>
      <modifiedWord/>
      <trackRevisions>false</trackRevisions>
    </reviewItem>
    <reviewItem>
      <errorID>8ee53e56-9265-4508-976a-ccc4fb8face1</errorID>
      <errorWord>KW</errorWord>
      <group>L1_Word</group>
      <groupName>字词问题</groupName>
      <ability>L2_Typo</ability>
      <abilityName>字词错误</abilityName>
      <candidateList>
        <item>kW</item>
      </candidateList>
      <explain/>
      <paraID>33D9061D</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f496c093-245d-463c-b6e2-a79cad5c0789}">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6820</Words>
  <Characters>7883</Characters>
  <Lines>0</Lines>
  <Paragraphs>0</Paragraphs>
  <TotalTime>123</TotalTime>
  <ScaleCrop>false</ScaleCrop>
  <LinksUpToDate>false</LinksUpToDate>
  <CharactersWithSpaces>8096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2026-02-25T00:11:00Z</dcterms:created>
  <dc:creator>Administrator</dc:creator>
  <cp:lastModifiedBy>佳丽</cp:lastModifiedBy>
  <cp:lastPrinted>2026-04-02T01:03:00Z</cp:lastPrinted>
  <dcterms:modified xsi:type="dcterms:W3CDTF">2026-04-14T06:43:19Z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eyJoZGlkIjoiODc1YjBkNmIyODVmMmI0ZTU4NDAwMzE5ZjMzNWFjOGYiLCJ1c2VySWQiOiI1ODEzODIxOTcifQ==</vt:lpwstr>
  </property>
  <property fmtid="{D5CDD505-2E9C-101B-9397-08002B2CF9AE}" pid="4" name="ICV">
    <vt:lpwstr>7ECA01C1FC7C437FB5F94A29D4266E36_13</vt:lpwstr>
  </property>
</Properties>
</file>