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eastAsia="宋体"/>
          <w:b/>
          <w:bCs/>
          <w:sz w:val="32"/>
          <w:szCs w:val="32"/>
          <w:lang w:val="en-US" w:eastAsia="zh-CN"/>
        </w:rPr>
      </w:pPr>
      <w:r>
        <w:rPr>
          <w:rFonts w:hint="eastAsia"/>
          <w:b/>
          <w:bCs/>
          <w:sz w:val="32"/>
          <w:szCs w:val="32"/>
          <w:lang w:val="en-US" w:eastAsia="zh-CN"/>
        </w:rPr>
        <w:t>采购需求</w:t>
      </w:r>
    </w:p>
    <w:p>
      <w:pPr>
        <w:pStyle w:val="5"/>
        <w:spacing w:before="0" w:line="360" w:lineRule="auto"/>
        <w:jc w:val="left"/>
        <w:rPr>
          <w:rFonts w:cs="宋体"/>
          <w:b/>
          <w:bCs/>
          <w:sz w:val="21"/>
          <w:szCs w:val="21"/>
        </w:rPr>
      </w:pPr>
      <w:r>
        <w:rPr>
          <w:rFonts w:hint="eastAsia" w:cs="宋体"/>
          <w:b/>
          <w:bCs/>
          <w:sz w:val="21"/>
          <w:szCs w:val="21"/>
        </w:rPr>
        <w:t>1.项目概况</w:t>
      </w:r>
    </w:p>
    <w:p>
      <w:pPr>
        <w:pStyle w:val="5"/>
        <w:spacing w:before="82" w:line="360" w:lineRule="auto"/>
        <w:jc w:val="left"/>
        <w:rPr>
          <w:rFonts w:cs="宋体"/>
          <w:sz w:val="21"/>
          <w:szCs w:val="21"/>
        </w:rPr>
      </w:pPr>
      <w:r>
        <w:rPr>
          <w:rFonts w:hint="eastAsia" w:cs="宋体"/>
          <w:sz w:val="21"/>
          <w:szCs w:val="21"/>
        </w:rPr>
        <w:t>1.1：本项目是信阳市人民医院地下室配电房、信息科、口腔科七氟丙烷气体灭火储存柜充装项目，因原安装的七氟丙烷气体灭火储存柜无压、需重新进行充装，其中：150公斤3组，100公斤5组，50公斤2组。</w:t>
      </w:r>
    </w:p>
    <w:p>
      <w:pPr>
        <w:pStyle w:val="5"/>
        <w:spacing w:before="163" w:line="360" w:lineRule="auto"/>
        <w:jc w:val="left"/>
        <w:rPr>
          <w:rFonts w:cs="宋体"/>
          <w:sz w:val="21"/>
          <w:szCs w:val="21"/>
        </w:rPr>
      </w:pPr>
      <w:r>
        <w:rPr>
          <w:rFonts w:hint="eastAsia" w:cs="宋体"/>
          <w:sz w:val="21"/>
          <w:szCs w:val="21"/>
        </w:rPr>
        <w:t>1.2采购内容：</w:t>
      </w:r>
    </w:p>
    <w:p>
      <w:pPr>
        <w:pStyle w:val="5"/>
        <w:spacing w:before="163" w:line="360" w:lineRule="auto"/>
        <w:ind w:left="120" w:right="219" w:firstLine="480"/>
        <w:rPr>
          <w:rFonts w:cs="宋体"/>
          <w:spacing w:val="-2"/>
          <w:sz w:val="21"/>
          <w:szCs w:val="21"/>
        </w:rPr>
      </w:pPr>
      <w:r>
        <w:rPr>
          <w:rFonts w:hint="eastAsia" w:cs="宋体"/>
          <w:spacing w:val="-2"/>
          <w:sz w:val="21"/>
          <w:szCs w:val="21"/>
        </w:rPr>
        <w:t>投标人应根据</w:t>
      </w:r>
    </w:p>
    <w:p>
      <w:pPr>
        <w:pStyle w:val="5"/>
        <w:spacing w:before="163" w:line="360" w:lineRule="auto"/>
        <w:ind w:left="120" w:right="219" w:firstLine="480"/>
        <w:rPr>
          <w:rFonts w:cs="宋体"/>
          <w:sz w:val="21"/>
          <w:szCs w:val="21"/>
        </w:rPr>
      </w:pPr>
      <w:r>
        <w:rPr>
          <w:rFonts w:hint="eastAsia" w:cs="宋体"/>
          <w:spacing w:val="-2"/>
          <w:sz w:val="21"/>
          <w:szCs w:val="21"/>
        </w:rPr>
        <w:t>1、</w:t>
      </w:r>
      <w:r>
        <w:rPr>
          <w:rFonts w:hint="eastAsia" w:cs="宋体"/>
          <w:sz w:val="21"/>
          <w:szCs w:val="21"/>
        </w:rPr>
        <w:t>GB18614-2012 《七氟丙烷(HFC-227ea)灭火剂》</w:t>
      </w:r>
    </w:p>
    <w:p>
      <w:pPr>
        <w:pStyle w:val="5"/>
        <w:spacing w:before="163" w:line="360" w:lineRule="auto"/>
        <w:ind w:left="120" w:right="219" w:firstLine="480"/>
        <w:rPr>
          <w:rFonts w:cs="宋体"/>
          <w:sz w:val="21"/>
          <w:szCs w:val="21"/>
        </w:rPr>
      </w:pPr>
      <w:r>
        <w:rPr>
          <w:rFonts w:hint="eastAsia" w:cs="宋体"/>
          <w:sz w:val="21"/>
          <w:szCs w:val="21"/>
        </w:rPr>
        <w:t>2、GB25972-2010 《气体灭火系统及部件》</w:t>
      </w:r>
    </w:p>
    <w:p>
      <w:pPr>
        <w:pStyle w:val="5"/>
        <w:spacing w:before="163" w:line="360" w:lineRule="auto"/>
        <w:ind w:left="120" w:right="219" w:firstLine="480"/>
        <w:rPr>
          <w:rFonts w:cs="宋体"/>
          <w:sz w:val="21"/>
          <w:szCs w:val="21"/>
        </w:rPr>
      </w:pPr>
      <w:r>
        <w:rPr>
          <w:rFonts w:hint="eastAsia" w:cs="宋体"/>
          <w:sz w:val="21"/>
          <w:szCs w:val="21"/>
        </w:rPr>
        <w:t>3、GB50263-2007 《气体灭火系统施工及验收规范》</w:t>
      </w:r>
    </w:p>
    <w:p>
      <w:pPr>
        <w:pStyle w:val="5"/>
        <w:spacing w:before="163" w:line="360" w:lineRule="auto"/>
        <w:ind w:left="120" w:right="219" w:firstLine="480"/>
        <w:rPr>
          <w:rFonts w:cs="宋体"/>
          <w:sz w:val="21"/>
          <w:szCs w:val="21"/>
        </w:rPr>
      </w:pPr>
      <w:r>
        <w:rPr>
          <w:rFonts w:hint="eastAsia" w:cs="宋体"/>
          <w:sz w:val="21"/>
          <w:szCs w:val="21"/>
        </w:rPr>
        <w:t>4、TSG23-2021 《气瓶安全技术规程》</w:t>
      </w:r>
    </w:p>
    <w:p>
      <w:pPr>
        <w:pStyle w:val="5"/>
        <w:spacing w:before="163" w:line="360" w:lineRule="auto"/>
        <w:ind w:left="120" w:right="219" w:firstLine="480"/>
        <w:rPr>
          <w:rFonts w:cs="宋体"/>
          <w:sz w:val="21"/>
          <w:szCs w:val="21"/>
        </w:rPr>
      </w:pPr>
      <w:r>
        <w:rPr>
          <w:rFonts w:hint="eastAsia" w:cs="宋体"/>
          <w:sz w:val="21"/>
          <w:szCs w:val="21"/>
        </w:rPr>
        <w:t>5、TSG21-2016 《固定式压力容器安全技术监察规程》</w:t>
      </w:r>
    </w:p>
    <w:p>
      <w:pPr>
        <w:pStyle w:val="5"/>
        <w:spacing w:before="163" w:line="360" w:lineRule="auto"/>
        <w:ind w:left="120" w:right="219" w:firstLine="480"/>
        <w:rPr>
          <w:rFonts w:cs="宋体"/>
          <w:sz w:val="21"/>
          <w:szCs w:val="21"/>
        </w:rPr>
      </w:pPr>
      <w:r>
        <w:rPr>
          <w:rFonts w:hint="eastAsia" w:cs="宋体"/>
          <w:sz w:val="21"/>
          <w:szCs w:val="21"/>
        </w:rPr>
        <w:t>等相关国家标准、行业标准等国家、行业相 关标准和规范，依照现行气体灭火系统设计、施工、验收规范对项目内气体灭火系统钢瓶进行检测、药剂进行充装和补装、组件和附件等进行维修更换，并对气体灭火系统成套设备进行最终复位安装和系统调试。</w:t>
      </w:r>
    </w:p>
    <w:p>
      <w:pPr>
        <w:pStyle w:val="5"/>
        <w:spacing w:before="163" w:line="360" w:lineRule="auto"/>
        <w:jc w:val="left"/>
        <w:rPr>
          <w:rFonts w:cs="宋体"/>
          <w:sz w:val="21"/>
          <w:szCs w:val="21"/>
        </w:rPr>
      </w:pPr>
      <w:r>
        <w:rPr>
          <w:rFonts w:hint="eastAsia" w:cs="宋体"/>
          <w:sz w:val="21"/>
          <w:szCs w:val="21"/>
        </w:rPr>
        <w:t>1.3采购工程量：</w:t>
      </w:r>
    </w:p>
    <w:p>
      <w:pPr>
        <w:spacing w:before="186" w:line="360" w:lineRule="auto"/>
        <w:ind w:right="106"/>
        <w:jc w:val="center"/>
        <w:rPr>
          <w:rFonts w:ascii="宋体" w:hAnsi="宋体" w:cs="宋体"/>
          <w:b/>
          <w:bCs/>
          <w:sz w:val="21"/>
          <w:szCs w:val="21"/>
        </w:rPr>
      </w:pPr>
      <w:r>
        <w:rPr>
          <w:rFonts w:hint="eastAsia" w:ascii="宋体" w:hAnsi="宋体" w:cs="宋体"/>
          <w:b/>
          <w:bCs/>
          <w:sz w:val="21"/>
          <w:szCs w:val="21"/>
        </w:rPr>
        <w:t>表1气体灭火系统瓶组汇总表</w:t>
      </w:r>
    </w:p>
    <w:tbl>
      <w:tblPr>
        <w:tblStyle w:val="8"/>
        <w:tblW w:w="9478" w:type="dxa"/>
        <w:tblInd w:w="100" w:type="dxa"/>
        <w:tblLayout w:type="fixed"/>
        <w:tblCellMar>
          <w:top w:w="0" w:type="dxa"/>
          <w:left w:w="0" w:type="dxa"/>
          <w:bottom w:w="0" w:type="dxa"/>
          <w:right w:w="0" w:type="dxa"/>
        </w:tblCellMar>
      </w:tblPr>
      <w:tblGrid>
        <w:gridCol w:w="1598"/>
        <w:gridCol w:w="3377"/>
        <w:gridCol w:w="2140"/>
        <w:gridCol w:w="2363"/>
      </w:tblGrid>
      <w:tr>
        <w:tblPrEx>
          <w:tblCellMar>
            <w:top w:w="0" w:type="dxa"/>
            <w:left w:w="0" w:type="dxa"/>
            <w:bottom w:w="0" w:type="dxa"/>
            <w:right w:w="0" w:type="dxa"/>
          </w:tblCellMar>
        </w:tblPrEx>
        <w:trPr>
          <w:trHeight w:val="563" w:hRule="exact"/>
        </w:trPr>
        <w:tc>
          <w:tcPr>
            <w:tcW w:w="1598" w:type="dxa"/>
            <w:tcBorders>
              <w:top w:val="single" w:color="000000" w:sz="4" w:space="0"/>
              <w:left w:val="single" w:color="000000" w:sz="4" w:space="0"/>
              <w:bottom w:val="single" w:color="000000" w:sz="4" w:space="0"/>
              <w:right w:val="single" w:color="000000" w:sz="4" w:space="0"/>
            </w:tcBorders>
          </w:tcPr>
          <w:p>
            <w:pPr>
              <w:pStyle w:val="10"/>
              <w:spacing w:before="10" w:line="360" w:lineRule="auto"/>
              <w:ind w:left="288"/>
              <w:jc w:val="left"/>
              <w:rPr>
                <w:rFonts w:ascii="宋体" w:hAnsi="宋体" w:cs="宋体"/>
                <w:sz w:val="21"/>
                <w:szCs w:val="21"/>
              </w:rPr>
            </w:pPr>
            <w:r>
              <w:rPr>
                <w:rFonts w:hint="eastAsia" w:ascii="宋体" w:hAnsi="宋体" w:cs="宋体"/>
                <w:b/>
                <w:bCs/>
                <w:sz w:val="21"/>
                <w:szCs w:val="21"/>
              </w:rPr>
              <w:t>序号</w:t>
            </w:r>
          </w:p>
        </w:tc>
        <w:tc>
          <w:tcPr>
            <w:tcW w:w="3377" w:type="dxa"/>
            <w:tcBorders>
              <w:top w:val="single" w:color="000000" w:sz="4" w:space="0"/>
              <w:left w:val="single" w:color="000000" w:sz="4" w:space="0"/>
              <w:bottom w:val="single" w:color="000000" w:sz="4" w:space="0"/>
              <w:right w:val="single" w:color="000000" w:sz="4" w:space="0"/>
            </w:tcBorders>
          </w:tcPr>
          <w:p>
            <w:pPr>
              <w:pStyle w:val="10"/>
              <w:spacing w:before="10" w:line="360" w:lineRule="auto"/>
              <w:ind w:right="1"/>
              <w:jc w:val="center"/>
              <w:rPr>
                <w:rFonts w:ascii="宋体" w:hAnsi="宋体" w:cs="宋体"/>
                <w:sz w:val="21"/>
                <w:szCs w:val="21"/>
              </w:rPr>
            </w:pPr>
            <w:r>
              <w:rPr>
                <w:rFonts w:hint="eastAsia" w:ascii="宋体" w:hAnsi="宋体" w:cs="宋体"/>
                <w:b/>
                <w:bCs/>
                <w:sz w:val="21"/>
                <w:szCs w:val="21"/>
              </w:rPr>
              <w:t>名称</w:t>
            </w:r>
          </w:p>
        </w:tc>
        <w:tc>
          <w:tcPr>
            <w:tcW w:w="2140" w:type="dxa"/>
            <w:tcBorders>
              <w:top w:val="single" w:color="000000" w:sz="4" w:space="0"/>
              <w:left w:val="single" w:color="000000" w:sz="4" w:space="0"/>
              <w:bottom w:val="single" w:color="000000" w:sz="4" w:space="0"/>
              <w:right w:val="single" w:color="000000" w:sz="4" w:space="0"/>
            </w:tcBorders>
          </w:tcPr>
          <w:p>
            <w:pPr>
              <w:pStyle w:val="10"/>
              <w:spacing w:before="10" w:line="360" w:lineRule="auto"/>
              <w:ind w:right="1"/>
              <w:jc w:val="center"/>
              <w:rPr>
                <w:rFonts w:ascii="宋体" w:hAnsi="宋体" w:cs="宋体"/>
                <w:sz w:val="21"/>
                <w:szCs w:val="21"/>
              </w:rPr>
            </w:pPr>
            <w:r>
              <w:rPr>
                <w:rFonts w:hint="eastAsia" w:ascii="宋体" w:hAnsi="宋体" w:cs="宋体"/>
                <w:b/>
                <w:bCs/>
                <w:sz w:val="21"/>
                <w:szCs w:val="21"/>
              </w:rPr>
              <w:t>型号</w:t>
            </w:r>
          </w:p>
        </w:tc>
        <w:tc>
          <w:tcPr>
            <w:tcW w:w="2363" w:type="dxa"/>
            <w:tcBorders>
              <w:top w:val="single" w:color="000000" w:sz="4" w:space="0"/>
              <w:left w:val="single" w:color="000000" w:sz="4" w:space="0"/>
              <w:bottom w:val="single" w:color="000000" w:sz="4" w:space="0"/>
              <w:right w:val="single" w:color="000000" w:sz="4" w:space="0"/>
            </w:tcBorders>
          </w:tcPr>
          <w:p>
            <w:pPr>
              <w:pStyle w:val="10"/>
              <w:spacing w:before="10" w:line="360" w:lineRule="auto"/>
              <w:ind w:left="215"/>
              <w:jc w:val="center"/>
              <w:rPr>
                <w:rFonts w:ascii="宋体" w:hAnsi="宋体" w:cs="宋体"/>
                <w:sz w:val="21"/>
                <w:szCs w:val="21"/>
              </w:rPr>
            </w:pPr>
            <w:r>
              <w:rPr>
                <w:rFonts w:hint="eastAsia" w:ascii="宋体" w:hAnsi="宋体" w:cs="宋体"/>
                <w:b/>
                <w:bCs/>
                <w:sz w:val="21"/>
                <w:szCs w:val="21"/>
              </w:rPr>
              <w:t>数量</w:t>
            </w:r>
          </w:p>
        </w:tc>
      </w:tr>
      <w:tr>
        <w:tblPrEx>
          <w:tblCellMar>
            <w:top w:w="0" w:type="dxa"/>
            <w:left w:w="0" w:type="dxa"/>
            <w:bottom w:w="0" w:type="dxa"/>
            <w:right w:w="0" w:type="dxa"/>
          </w:tblCellMar>
        </w:tblPrEx>
        <w:trPr>
          <w:trHeight w:val="463" w:hRule="exact"/>
        </w:trPr>
        <w:tc>
          <w:tcPr>
            <w:tcW w:w="1598" w:type="dxa"/>
            <w:tcBorders>
              <w:top w:val="single" w:color="000000" w:sz="4" w:space="0"/>
              <w:left w:val="single" w:color="000000" w:sz="4" w:space="0"/>
              <w:bottom w:val="single" w:color="000000" w:sz="4" w:space="0"/>
              <w:right w:val="single" w:color="000000" w:sz="4" w:space="0"/>
            </w:tcBorders>
          </w:tcPr>
          <w:p>
            <w:pPr>
              <w:pStyle w:val="10"/>
              <w:spacing w:before="38" w:line="360" w:lineRule="auto"/>
              <w:ind w:left="1"/>
              <w:jc w:val="center"/>
              <w:rPr>
                <w:rFonts w:ascii="宋体" w:hAnsi="宋体" w:cs="宋体"/>
                <w:sz w:val="21"/>
                <w:szCs w:val="21"/>
              </w:rPr>
            </w:pPr>
            <w:r>
              <w:rPr>
                <w:rFonts w:hint="eastAsia" w:ascii="宋体" w:hAnsi="宋体" w:cs="宋体"/>
                <w:w w:val="99"/>
                <w:sz w:val="21"/>
                <w:szCs w:val="21"/>
              </w:rPr>
              <w:t>1</w:t>
            </w:r>
          </w:p>
        </w:tc>
        <w:tc>
          <w:tcPr>
            <w:tcW w:w="3377" w:type="dxa"/>
            <w:tcBorders>
              <w:top w:val="single" w:color="000000" w:sz="4" w:space="0"/>
              <w:left w:val="single" w:color="000000" w:sz="4" w:space="0"/>
              <w:bottom w:val="single" w:color="000000" w:sz="4" w:space="0"/>
              <w:right w:val="single" w:color="000000" w:sz="4" w:space="0"/>
            </w:tcBorders>
          </w:tcPr>
          <w:p>
            <w:pPr>
              <w:pStyle w:val="10"/>
              <w:spacing w:before="38" w:line="360" w:lineRule="auto"/>
              <w:ind w:left="539"/>
              <w:jc w:val="left"/>
              <w:rPr>
                <w:rFonts w:ascii="宋体" w:hAnsi="宋体" w:cs="宋体"/>
                <w:sz w:val="21"/>
                <w:szCs w:val="21"/>
              </w:rPr>
            </w:pPr>
            <w:r>
              <w:rPr>
                <w:rFonts w:hint="eastAsia" w:ascii="宋体" w:hAnsi="宋体" w:cs="宋体"/>
                <w:sz w:val="21"/>
                <w:szCs w:val="21"/>
              </w:rPr>
              <w:t>柜式七氟丙烷</w:t>
            </w:r>
          </w:p>
        </w:tc>
        <w:tc>
          <w:tcPr>
            <w:tcW w:w="2140" w:type="dxa"/>
            <w:tcBorders>
              <w:top w:val="single" w:color="000000" w:sz="4" w:space="0"/>
              <w:left w:val="single" w:color="000000" w:sz="4" w:space="0"/>
              <w:bottom w:val="single" w:color="000000" w:sz="4" w:space="0"/>
              <w:right w:val="single" w:color="000000" w:sz="4" w:space="0"/>
            </w:tcBorders>
          </w:tcPr>
          <w:p>
            <w:pPr>
              <w:pStyle w:val="10"/>
              <w:spacing w:before="38" w:line="360" w:lineRule="auto"/>
              <w:ind w:left="550"/>
              <w:jc w:val="left"/>
              <w:rPr>
                <w:rFonts w:ascii="宋体" w:hAnsi="宋体" w:cs="宋体"/>
                <w:sz w:val="21"/>
                <w:szCs w:val="21"/>
              </w:rPr>
            </w:pPr>
            <w:r>
              <w:rPr>
                <w:rFonts w:hint="eastAsia" w:ascii="宋体" w:hAnsi="宋体" w:cs="宋体"/>
                <w:sz w:val="21"/>
                <w:szCs w:val="21"/>
              </w:rPr>
              <w:t>150公斤</w:t>
            </w:r>
          </w:p>
        </w:tc>
        <w:tc>
          <w:tcPr>
            <w:tcW w:w="2363" w:type="dxa"/>
            <w:tcBorders>
              <w:top w:val="single" w:color="000000" w:sz="4" w:space="0"/>
              <w:left w:val="single" w:color="000000" w:sz="4" w:space="0"/>
              <w:bottom w:val="single" w:color="000000" w:sz="4" w:space="0"/>
              <w:right w:val="single" w:color="000000" w:sz="4" w:space="0"/>
            </w:tcBorders>
          </w:tcPr>
          <w:p>
            <w:pPr>
              <w:pStyle w:val="10"/>
              <w:spacing w:before="38" w:line="360" w:lineRule="auto"/>
              <w:jc w:val="center"/>
              <w:rPr>
                <w:rFonts w:ascii="宋体" w:hAnsi="宋体" w:cs="宋体"/>
                <w:sz w:val="21"/>
                <w:szCs w:val="21"/>
              </w:rPr>
            </w:pPr>
            <w:r>
              <w:rPr>
                <w:rFonts w:hint="eastAsia" w:ascii="宋体" w:hAnsi="宋体" w:cs="宋体"/>
                <w:sz w:val="21"/>
                <w:szCs w:val="21"/>
              </w:rPr>
              <w:t>3</w:t>
            </w:r>
          </w:p>
        </w:tc>
      </w:tr>
      <w:tr>
        <w:tblPrEx>
          <w:tblCellMar>
            <w:top w:w="0" w:type="dxa"/>
            <w:left w:w="0" w:type="dxa"/>
            <w:bottom w:w="0" w:type="dxa"/>
            <w:right w:w="0" w:type="dxa"/>
          </w:tblCellMar>
        </w:tblPrEx>
        <w:trPr>
          <w:trHeight w:val="463" w:hRule="exact"/>
        </w:trPr>
        <w:tc>
          <w:tcPr>
            <w:tcW w:w="1598" w:type="dxa"/>
            <w:tcBorders>
              <w:top w:val="single" w:color="000000" w:sz="4" w:space="0"/>
              <w:left w:val="single" w:color="000000" w:sz="4" w:space="0"/>
              <w:bottom w:val="single" w:color="000000" w:sz="4" w:space="0"/>
              <w:right w:val="single" w:color="000000" w:sz="4" w:space="0"/>
            </w:tcBorders>
          </w:tcPr>
          <w:p>
            <w:pPr>
              <w:pStyle w:val="10"/>
              <w:spacing w:before="38" w:line="360" w:lineRule="auto"/>
              <w:ind w:left="1"/>
              <w:jc w:val="center"/>
              <w:rPr>
                <w:rFonts w:ascii="宋体" w:hAnsi="宋体" w:cs="宋体"/>
                <w:sz w:val="21"/>
                <w:szCs w:val="21"/>
              </w:rPr>
            </w:pPr>
            <w:r>
              <w:rPr>
                <w:rFonts w:hint="eastAsia" w:ascii="宋体" w:hAnsi="宋体" w:cs="宋体"/>
                <w:w w:val="99"/>
                <w:sz w:val="21"/>
                <w:szCs w:val="21"/>
              </w:rPr>
              <w:t>2</w:t>
            </w:r>
          </w:p>
        </w:tc>
        <w:tc>
          <w:tcPr>
            <w:tcW w:w="3377" w:type="dxa"/>
            <w:tcBorders>
              <w:top w:val="single" w:color="000000" w:sz="4" w:space="0"/>
              <w:left w:val="single" w:color="000000" w:sz="4" w:space="0"/>
              <w:bottom w:val="single" w:color="000000" w:sz="4" w:space="0"/>
              <w:right w:val="single" w:color="000000" w:sz="4" w:space="0"/>
            </w:tcBorders>
          </w:tcPr>
          <w:p>
            <w:pPr>
              <w:pStyle w:val="10"/>
              <w:spacing w:before="38" w:line="360" w:lineRule="auto"/>
              <w:ind w:left="539"/>
              <w:jc w:val="left"/>
              <w:rPr>
                <w:rFonts w:ascii="宋体" w:hAnsi="宋体" w:cs="宋体"/>
                <w:sz w:val="21"/>
                <w:szCs w:val="21"/>
              </w:rPr>
            </w:pPr>
            <w:r>
              <w:rPr>
                <w:rFonts w:hint="eastAsia" w:ascii="宋体" w:hAnsi="宋体" w:cs="宋体"/>
                <w:sz w:val="21"/>
                <w:szCs w:val="21"/>
              </w:rPr>
              <w:t>柜式七氟丙烷</w:t>
            </w:r>
          </w:p>
        </w:tc>
        <w:tc>
          <w:tcPr>
            <w:tcW w:w="2140" w:type="dxa"/>
            <w:tcBorders>
              <w:top w:val="single" w:color="000000" w:sz="4" w:space="0"/>
              <w:left w:val="single" w:color="000000" w:sz="4" w:space="0"/>
              <w:bottom w:val="single" w:color="000000" w:sz="4" w:space="0"/>
              <w:right w:val="single" w:color="000000" w:sz="4" w:space="0"/>
            </w:tcBorders>
          </w:tcPr>
          <w:p>
            <w:pPr>
              <w:pStyle w:val="10"/>
              <w:spacing w:before="38" w:line="360" w:lineRule="auto"/>
              <w:ind w:left="550"/>
              <w:jc w:val="left"/>
              <w:rPr>
                <w:rFonts w:ascii="宋体" w:hAnsi="宋体" w:cs="宋体"/>
                <w:sz w:val="21"/>
                <w:szCs w:val="21"/>
              </w:rPr>
            </w:pPr>
            <w:r>
              <w:rPr>
                <w:rFonts w:hint="eastAsia" w:ascii="宋体" w:hAnsi="宋体" w:cs="宋体"/>
                <w:sz w:val="21"/>
                <w:szCs w:val="21"/>
              </w:rPr>
              <w:t>100公斤</w:t>
            </w:r>
          </w:p>
        </w:tc>
        <w:tc>
          <w:tcPr>
            <w:tcW w:w="2363" w:type="dxa"/>
            <w:tcBorders>
              <w:top w:val="single" w:color="000000" w:sz="4" w:space="0"/>
              <w:left w:val="single" w:color="000000" w:sz="4" w:space="0"/>
              <w:bottom w:val="single" w:color="000000" w:sz="4" w:space="0"/>
              <w:right w:val="single" w:color="000000" w:sz="4" w:space="0"/>
            </w:tcBorders>
          </w:tcPr>
          <w:p>
            <w:pPr>
              <w:pStyle w:val="10"/>
              <w:spacing w:before="38" w:line="360" w:lineRule="auto"/>
              <w:jc w:val="center"/>
              <w:rPr>
                <w:rFonts w:ascii="宋体" w:hAnsi="宋体" w:cs="宋体"/>
                <w:sz w:val="21"/>
                <w:szCs w:val="21"/>
              </w:rPr>
            </w:pPr>
            <w:r>
              <w:rPr>
                <w:rFonts w:hint="eastAsia" w:ascii="宋体" w:hAnsi="宋体" w:cs="宋体"/>
                <w:sz w:val="21"/>
                <w:szCs w:val="21"/>
              </w:rPr>
              <w:t>5</w:t>
            </w:r>
          </w:p>
        </w:tc>
      </w:tr>
      <w:tr>
        <w:tblPrEx>
          <w:tblCellMar>
            <w:top w:w="0" w:type="dxa"/>
            <w:left w:w="0" w:type="dxa"/>
            <w:bottom w:w="0" w:type="dxa"/>
            <w:right w:w="0" w:type="dxa"/>
          </w:tblCellMar>
        </w:tblPrEx>
        <w:trPr>
          <w:trHeight w:val="463" w:hRule="exact"/>
        </w:trPr>
        <w:tc>
          <w:tcPr>
            <w:tcW w:w="1598" w:type="dxa"/>
            <w:tcBorders>
              <w:top w:val="single" w:color="000000" w:sz="4" w:space="0"/>
              <w:left w:val="single" w:color="000000" w:sz="4" w:space="0"/>
              <w:bottom w:val="single" w:color="000000" w:sz="4" w:space="0"/>
              <w:right w:val="single" w:color="000000" w:sz="4" w:space="0"/>
            </w:tcBorders>
          </w:tcPr>
          <w:p>
            <w:pPr>
              <w:pStyle w:val="10"/>
              <w:spacing w:before="37" w:line="360" w:lineRule="auto"/>
              <w:ind w:left="1"/>
              <w:jc w:val="center"/>
              <w:rPr>
                <w:rFonts w:ascii="宋体" w:hAnsi="宋体" w:cs="宋体"/>
                <w:sz w:val="21"/>
                <w:szCs w:val="21"/>
              </w:rPr>
            </w:pPr>
            <w:r>
              <w:rPr>
                <w:rFonts w:hint="eastAsia" w:ascii="宋体" w:hAnsi="宋体" w:cs="宋体"/>
                <w:w w:val="99"/>
                <w:sz w:val="21"/>
                <w:szCs w:val="21"/>
              </w:rPr>
              <w:t>3</w:t>
            </w:r>
          </w:p>
        </w:tc>
        <w:tc>
          <w:tcPr>
            <w:tcW w:w="3377" w:type="dxa"/>
            <w:tcBorders>
              <w:top w:val="single" w:color="000000" w:sz="4" w:space="0"/>
              <w:left w:val="single" w:color="000000" w:sz="4" w:space="0"/>
              <w:bottom w:val="single" w:color="000000" w:sz="4" w:space="0"/>
              <w:right w:val="single" w:color="000000" w:sz="4" w:space="0"/>
            </w:tcBorders>
          </w:tcPr>
          <w:p>
            <w:pPr>
              <w:pStyle w:val="10"/>
              <w:spacing w:before="38" w:line="360" w:lineRule="auto"/>
              <w:ind w:left="539"/>
              <w:jc w:val="left"/>
              <w:rPr>
                <w:rFonts w:ascii="宋体" w:hAnsi="宋体" w:cs="宋体"/>
                <w:sz w:val="21"/>
                <w:szCs w:val="21"/>
              </w:rPr>
            </w:pPr>
            <w:r>
              <w:rPr>
                <w:rFonts w:hint="eastAsia" w:ascii="宋体" w:hAnsi="宋体" w:cs="宋体"/>
                <w:sz w:val="21"/>
                <w:szCs w:val="21"/>
              </w:rPr>
              <w:t>柜式七氟丙烷</w:t>
            </w:r>
          </w:p>
        </w:tc>
        <w:tc>
          <w:tcPr>
            <w:tcW w:w="2140" w:type="dxa"/>
            <w:tcBorders>
              <w:top w:val="single" w:color="000000" w:sz="4" w:space="0"/>
              <w:left w:val="single" w:color="000000" w:sz="4" w:space="0"/>
              <w:bottom w:val="single" w:color="000000" w:sz="4" w:space="0"/>
              <w:right w:val="single" w:color="000000" w:sz="4" w:space="0"/>
            </w:tcBorders>
          </w:tcPr>
          <w:p>
            <w:pPr>
              <w:pStyle w:val="10"/>
              <w:spacing w:before="38" w:line="360" w:lineRule="auto"/>
              <w:ind w:left="550"/>
              <w:jc w:val="left"/>
              <w:rPr>
                <w:rFonts w:ascii="宋体" w:hAnsi="宋体" w:cs="宋体"/>
                <w:sz w:val="21"/>
                <w:szCs w:val="21"/>
              </w:rPr>
            </w:pPr>
            <w:r>
              <w:rPr>
                <w:rFonts w:hint="eastAsia" w:ascii="宋体" w:hAnsi="宋体" w:cs="宋体"/>
                <w:sz w:val="21"/>
                <w:szCs w:val="21"/>
              </w:rPr>
              <w:t>50公斤</w:t>
            </w:r>
          </w:p>
        </w:tc>
        <w:tc>
          <w:tcPr>
            <w:tcW w:w="2363" w:type="dxa"/>
            <w:tcBorders>
              <w:top w:val="single" w:color="000000" w:sz="4" w:space="0"/>
              <w:left w:val="single" w:color="000000" w:sz="4" w:space="0"/>
              <w:bottom w:val="single" w:color="000000" w:sz="4" w:space="0"/>
              <w:right w:val="single" w:color="000000" w:sz="4" w:space="0"/>
            </w:tcBorders>
          </w:tcPr>
          <w:p>
            <w:pPr>
              <w:pStyle w:val="10"/>
              <w:spacing w:before="38" w:line="360" w:lineRule="auto"/>
              <w:jc w:val="center"/>
              <w:rPr>
                <w:rFonts w:ascii="宋体" w:hAnsi="宋体" w:cs="宋体"/>
                <w:sz w:val="21"/>
                <w:szCs w:val="21"/>
              </w:rPr>
            </w:pPr>
            <w:r>
              <w:rPr>
                <w:rFonts w:hint="eastAsia" w:ascii="宋体" w:hAnsi="宋体" w:cs="宋体"/>
                <w:sz w:val="21"/>
                <w:szCs w:val="21"/>
              </w:rPr>
              <w:t>2</w:t>
            </w:r>
          </w:p>
        </w:tc>
      </w:tr>
      <w:tr>
        <w:tblPrEx>
          <w:tblCellMar>
            <w:top w:w="0" w:type="dxa"/>
            <w:left w:w="0" w:type="dxa"/>
            <w:bottom w:w="0" w:type="dxa"/>
            <w:right w:w="0" w:type="dxa"/>
          </w:tblCellMar>
        </w:tblPrEx>
        <w:trPr>
          <w:trHeight w:val="463" w:hRule="exact"/>
        </w:trPr>
        <w:tc>
          <w:tcPr>
            <w:tcW w:w="1598" w:type="dxa"/>
            <w:tcBorders>
              <w:top w:val="single" w:color="000000" w:sz="4" w:space="0"/>
              <w:left w:val="single" w:color="000000" w:sz="4" w:space="0"/>
              <w:bottom w:val="single" w:color="000000" w:sz="4" w:space="0"/>
              <w:right w:val="single" w:color="000000" w:sz="4" w:space="0"/>
            </w:tcBorders>
            <w:vAlign w:val="top"/>
          </w:tcPr>
          <w:p>
            <w:pPr>
              <w:pStyle w:val="10"/>
              <w:spacing w:before="37" w:line="360" w:lineRule="auto"/>
              <w:ind w:left="1" w:leftChars="0"/>
              <w:jc w:val="center"/>
              <w:rPr>
                <w:rFonts w:hint="eastAsia" w:ascii="宋体" w:hAnsi="宋体" w:eastAsia="宋体" w:cs="宋体"/>
                <w:kern w:val="2"/>
                <w:sz w:val="21"/>
                <w:szCs w:val="21"/>
                <w:lang w:val="en-US" w:eastAsia="zh-CN" w:bidi="ar-SA"/>
              </w:rPr>
            </w:pPr>
            <w:r>
              <w:rPr>
                <w:rFonts w:hint="eastAsia" w:ascii="宋体" w:hAnsi="宋体" w:cs="宋体"/>
                <w:w w:val="99"/>
                <w:sz w:val="21"/>
                <w:szCs w:val="21"/>
              </w:rPr>
              <w:t>小计</w:t>
            </w:r>
          </w:p>
        </w:tc>
        <w:tc>
          <w:tcPr>
            <w:tcW w:w="3377" w:type="dxa"/>
            <w:tcBorders>
              <w:top w:val="single" w:color="000000" w:sz="4" w:space="0"/>
              <w:left w:val="single" w:color="000000" w:sz="4" w:space="0"/>
              <w:bottom w:val="single" w:color="000000" w:sz="4" w:space="0"/>
              <w:right w:val="single" w:color="000000" w:sz="4" w:space="0"/>
            </w:tcBorders>
            <w:vAlign w:val="top"/>
          </w:tcPr>
          <w:p>
            <w:pPr>
              <w:pStyle w:val="10"/>
              <w:spacing w:before="37" w:line="360" w:lineRule="auto"/>
              <w:ind w:left="539" w:leftChars="0"/>
              <w:jc w:val="center"/>
              <w:rPr>
                <w:rFonts w:hint="eastAsia" w:ascii="宋体" w:hAnsi="宋体" w:eastAsia="宋体" w:cs="宋体"/>
                <w:kern w:val="2"/>
                <w:sz w:val="21"/>
                <w:szCs w:val="21"/>
                <w:lang w:val="en-US" w:eastAsia="zh-CN" w:bidi="ar-SA"/>
              </w:rPr>
            </w:pPr>
          </w:p>
        </w:tc>
        <w:tc>
          <w:tcPr>
            <w:tcW w:w="2140" w:type="dxa"/>
            <w:tcBorders>
              <w:top w:val="single" w:color="000000" w:sz="4" w:space="0"/>
              <w:left w:val="single" w:color="000000" w:sz="4" w:space="0"/>
              <w:bottom w:val="single" w:color="000000" w:sz="4" w:space="0"/>
              <w:right w:val="single" w:color="000000" w:sz="4" w:space="0"/>
            </w:tcBorders>
            <w:vAlign w:val="top"/>
          </w:tcPr>
          <w:p>
            <w:pPr>
              <w:pStyle w:val="10"/>
              <w:spacing w:before="37" w:line="360" w:lineRule="auto"/>
              <w:ind w:left="392" w:leftChars="0"/>
              <w:jc w:val="center"/>
              <w:rPr>
                <w:rFonts w:hint="eastAsia" w:ascii="宋体" w:hAnsi="宋体" w:eastAsia="宋体" w:cs="宋体"/>
                <w:kern w:val="2"/>
                <w:sz w:val="21"/>
                <w:szCs w:val="21"/>
                <w:lang w:val="en-US" w:eastAsia="zh-CN" w:bidi="ar-SA"/>
              </w:rPr>
            </w:pPr>
          </w:p>
        </w:tc>
        <w:tc>
          <w:tcPr>
            <w:tcW w:w="2363" w:type="dxa"/>
            <w:tcBorders>
              <w:top w:val="single" w:color="000000" w:sz="4" w:space="0"/>
              <w:left w:val="single" w:color="000000" w:sz="4" w:space="0"/>
              <w:bottom w:val="single" w:color="000000" w:sz="4" w:space="0"/>
              <w:right w:val="single" w:color="000000" w:sz="4" w:space="0"/>
            </w:tcBorders>
            <w:vAlign w:val="top"/>
          </w:tcPr>
          <w:p>
            <w:pPr>
              <w:pStyle w:val="10"/>
              <w:spacing w:before="37"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rPr>
              <w:t>10</w:t>
            </w:r>
          </w:p>
        </w:tc>
      </w:tr>
      <w:tr>
        <w:tblPrEx>
          <w:tblCellMar>
            <w:top w:w="0" w:type="dxa"/>
            <w:left w:w="0" w:type="dxa"/>
            <w:bottom w:w="0" w:type="dxa"/>
            <w:right w:w="0" w:type="dxa"/>
          </w:tblCellMar>
        </w:tblPrEx>
        <w:trPr>
          <w:trHeight w:val="1589" w:hRule="exact"/>
        </w:trPr>
        <w:tc>
          <w:tcPr>
            <w:tcW w:w="9478" w:type="dxa"/>
            <w:gridSpan w:val="4"/>
            <w:tcBorders>
              <w:top w:val="single" w:color="000000" w:sz="4" w:space="0"/>
              <w:left w:val="single" w:color="000000" w:sz="4" w:space="0"/>
              <w:bottom w:val="single" w:color="000000" w:sz="4" w:space="0"/>
              <w:right w:val="single" w:color="000000" w:sz="4" w:space="0"/>
            </w:tcBorders>
          </w:tcPr>
          <w:p>
            <w:pPr>
              <w:pStyle w:val="5"/>
              <w:spacing w:before="0" w:line="360" w:lineRule="auto"/>
              <w:ind w:left="0" w:leftChars="0" w:firstLine="0" w:firstLineChars="0"/>
              <w:jc w:val="left"/>
              <w:rPr>
                <w:rFonts w:hint="eastAsia" w:cs="宋体"/>
                <w:color w:val="0000FF"/>
                <w:sz w:val="21"/>
                <w:szCs w:val="21"/>
                <w:lang w:val="en-US" w:eastAsia="zh-CN"/>
              </w:rPr>
            </w:pPr>
            <w:r>
              <w:rPr>
                <w:rFonts w:hint="eastAsia" w:ascii="宋体" w:hAnsi="宋体" w:cs="宋体"/>
                <w:sz w:val="21"/>
                <w:szCs w:val="21"/>
                <w:lang w:val="en-US" w:eastAsia="zh-CN"/>
              </w:rPr>
              <w:t>注：</w:t>
            </w:r>
            <w:r>
              <w:rPr>
                <w:rFonts w:hint="eastAsia" w:cs="宋体"/>
                <w:sz w:val="21"/>
                <w:szCs w:val="21"/>
                <w:lang w:val="en-US" w:eastAsia="zh-CN"/>
              </w:rPr>
              <w:t>（1）</w:t>
            </w:r>
            <w:r>
              <w:rPr>
                <w:rFonts w:hint="eastAsia" w:cs="宋体"/>
                <w:color w:val="0000FF"/>
                <w:sz w:val="21"/>
                <w:szCs w:val="21"/>
                <w:lang w:val="en-US" w:eastAsia="zh-CN"/>
              </w:rPr>
              <w:t>须提供七氟丙烷灭火系统的检验报告及消防产品认证证书。</w:t>
            </w:r>
          </w:p>
          <w:p>
            <w:pPr>
              <w:pStyle w:val="5"/>
              <w:numPr>
                <w:ilvl w:val="0"/>
                <w:numId w:val="1"/>
              </w:numPr>
              <w:spacing w:before="0" w:line="360" w:lineRule="auto"/>
              <w:ind w:left="120" w:leftChars="57" w:firstLine="79" w:firstLineChars="38"/>
              <w:jc w:val="left"/>
              <w:rPr>
                <w:rFonts w:hint="eastAsia" w:cs="宋体"/>
                <w:color w:val="0000FF"/>
                <w:sz w:val="21"/>
                <w:szCs w:val="21"/>
                <w:lang w:val="en-US" w:eastAsia="zh-CN"/>
              </w:rPr>
            </w:pPr>
            <w:r>
              <w:rPr>
                <w:rFonts w:hint="eastAsia" w:cs="宋体"/>
                <w:color w:val="0000FF"/>
                <w:sz w:val="21"/>
                <w:szCs w:val="21"/>
                <w:lang w:val="en-US" w:eastAsia="zh-CN"/>
              </w:rPr>
              <w:t>须提供符合消防行业主管部门要求的设备维修合格证明书、钢瓶检验报告等资料。</w:t>
            </w:r>
          </w:p>
          <w:p>
            <w:pPr>
              <w:pStyle w:val="5"/>
              <w:numPr>
                <w:numId w:val="0"/>
              </w:numPr>
              <w:spacing w:before="0" w:line="360" w:lineRule="auto"/>
              <w:ind w:leftChars="95" w:firstLine="420" w:firstLineChars="200"/>
              <w:jc w:val="left"/>
              <w:rPr>
                <w:rFonts w:hint="eastAsia" w:eastAsia="宋体" w:cs="宋体"/>
                <w:color w:val="0000FF"/>
                <w:sz w:val="21"/>
                <w:szCs w:val="21"/>
                <w:lang w:val="en-US" w:eastAsia="zh-CN"/>
              </w:rPr>
            </w:pPr>
            <w:bookmarkStart w:id="1" w:name="_GoBack"/>
            <w:bookmarkEnd w:id="1"/>
            <w:r>
              <w:rPr>
                <w:rFonts w:hint="eastAsia" w:cs="宋体"/>
                <w:color w:val="0000FF"/>
                <w:sz w:val="21"/>
                <w:szCs w:val="21"/>
                <w:lang w:val="en-US" w:eastAsia="zh-CN"/>
              </w:rPr>
              <w:t>未提供以上文件视为无效投标。</w:t>
            </w:r>
          </w:p>
          <w:p>
            <w:pPr>
              <w:pStyle w:val="10"/>
              <w:spacing w:before="38" w:line="360" w:lineRule="auto"/>
              <w:jc w:val="center"/>
              <w:rPr>
                <w:rFonts w:hint="eastAsia" w:ascii="宋体" w:hAnsi="宋体" w:eastAsia="宋体" w:cs="宋体"/>
                <w:sz w:val="21"/>
                <w:szCs w:val="21"/>
                <w:lang w:val="en-US" w:eastAsia="zh-CN"/>
              </w:rPr>
            </w:pPr>
          </w:p>
        </w:tc>
      </w:tr>
    </w:tbl>
    <w:p>
      <w:pPr>
        <w:pStyle w:val="5"/>
        <w:spacing w:before="0" w:line="480" w:lineRule="auto"/>
        <w:jc w:val="left"/>
        <w:rPr>
          <w:rFonts w:hint="eastAsia" w:cs="宋体"/>
          <w:b/>
          <w:bCs/>
          <w:sz w:val="21"/>
          <w:szCs w:val="21"/>
        </w:rPr>
      </w:pPr>
    </w:p>
    <w:p>
      <w:pPr>
        <w:pStyle w:val="5"/>
        <w:spacing w:before="0" w:line="480" w:lineRule="auto"/>
        <w:jc w:val="left"/>
        <w:rPr>
          <w:rFonts w:cs="宋体"/>
          <w:b/>
          <w:bCs/>
          <w:sz w:val="21"/>
          <w:szCs w:val="21"/>
        </w:rPr>
      </w:pPr>
      <w:r>
        <w:rPr>
          <w:rFonts w:hint="eastAsia" w:cs="宋体"/>
          <w:b/>
          <w:bCs/>
          <w:sz w:val="21"/>
          <w:szCs w:val="21"/>
        </w:rPr>
        <w:t>2.服务要求</w:t>
      </w:r>
    </w:p>
    <w:p>
      <w:pPr>
        <w:pStyle w:val="5"/>
        <w:spacing w:before="82" w:line="480" w:lineRule="auto"/>
        <w:ind w:left="120" w:right="225" w:firstLine="480"/>
        <w:rPr>
          <w:rFonts w:cs="宋体"/>
          <w:sz w:val="21"/>
          <w:szCs w:val="21"/>
        </w:rPr>
      </w:pPr>
      <w:r>
        <w:rPr>
          <w:rFonts w:hint="eastAsia" w:cs="宋体"/>
          <w:sz w:val="21"/>
          <w:szCs w:val="21"/>
        </w:rPr>
        <w:t>2.1</w:t>
      </w:r>
      <w:r>
        <w:rPr>
          <w:rFonts w:hint="eastAsia" w:cs="宋体"/>
          <w:spacing w:val="-4"/>
          <w:sz w:val="21"/>
          <w:szCs w:val="21"/>
        </w:rPr>
        <w:t>投标人对项目内气体灭火系统拆卸、安装时应确保不影响防护区环境，投标人可将原</w:t>
      </w:r>
      <w:r>
        <w:rPr>
          <w:rFonts w:hint="eastAsia" w:cs="宋体"/>
          <w:sz w:val="21"/>
          <w:szCs w:val="21"/>
        </w:rPr>
        <w:t>设备拆卸并运输至检修场所，抽取钢瓶灭火药剂、清洗瓶体、钢瓶检测（需提供钢瓶检测报告）、必要时对钢瓶重新涂装（要求瓶体不得有色差）。</w:t>
      </w:r>
    </w:p>
    <w:p>
      <w:pPr>
        <w:pStyle w:val="5"/>
        <w:spacing w:before="38" w:line="480" w:lineRule="auto"/>
        <w:ind w:left="120" w:leftChars="57" w:right="221" w:firstLine="298" w:firstLineChars="142"/>
        <w:rPr>
          <w:rFonts w:cs="宋体"/>
          <w:sz w:val="21"/>
          <w:szCs w:val="21"/>
        </w:rPr>
      </w:pPr>
      <w:r>
        <w:rPr>
          <w:rFonts w:hint="eastAsia" w:cs="宋体"/>
          <w:sz w:val="21"/>
          <w:szCs w:val="21"/>
        </w:rPr>
        <w:t>2.2</w:t>
      </w:r>
      <w:r>
        <w:rPr>
          <w:rFonts w:hint="eastAsia" w:cs="宋体"/>
          <w:spacing w:val="-4"/>
          <w:sz w:val="21"/>
          <w:szCs w:val="21"/>
        </w:rPr>
        <w:t>投标人应按要求完成对气体灭火系统涉及的组件、附件等进行拆卸、搬运、运输、钢</w:t>
      </w:r>
      <w:r>
        <w:rPr>
          <w:rFonts w:hint="eastAsia" w:cs="宋体"/>
          <w:sz w:val="21"/>
          <w:szCs w:val="21"/>
        </w:rPr>
        <w:t>瓶检测、登记、灭火药剂补充、系统安装和调试等工作，且经投标人检修调试后的系统应符合原设计和使用要求。</w:t>
      </w:r>
    </w:p>
    <w:p>
      <w:pPr>
        <w:pStyle w:val="5"/>
        <w:spacing w:before="36" w:line="480" w:lineRule="auto"/>
        <w:ind w:left="120" w:leftChars="57" w:firstLine="298" w:firstLineChars="142"/>
        <w:jc w:val="left"/>
        <w:rPr>
          <w:rFonts w:cs="宋体"/>
          <w:sz w:val="21"/>
          <w:szCs w:val="21"/>
        </w:rPr>
      </w:pPr>
      <w:r>
        <w:rPr>
          <w:rFonts w:hint="eastAsia" w:cs="宋体"/>
          <w:sz w:val="21"/>
          <w:szCs w:val="21"/>
        </w:rPr>
        <w:t>2.3</w:t>
      </w:r>
      <w:r>
        <w:rPr>
          <w:rFonts w:hint="eastAsia" w:cs="宋体"/>
          <w:spacing w:val="-4"/>
          <w:sz w:val="21"/>
          <w:szCs w:val="21"/>
        </w:rPr>
        <w:t>投标人应对所提供的检查维修服务质量负全责，</w:t>
      </w:r>
      <w:r>
        <w:rPr>
          <w:rFonts w:hint="eastAsia" w:cs="宋体"/>
          <w:sz w:val="21"/>
          <w:szCs w:val="21"/>
        </w:rPr>
        <w:t>出现不合格品，投标人应收到通知之日起24小时内予以答复，并对本批次已维修的气体灭火系统组件无偿进行重新检查维修，由此延误的工期和相关费用不予追加，且因此产生的法律责任由投标人承担。</w:t>
      </w:r>
    </w:p>
    <w:p>
      <w:pPr>
        <w:spacing w:line="480" w:lineRule="auto"/>
        <w:ind w:left="120" w:leftChars="57" w:firstLine="298" w:firstLineChars="142"/>
        <w:rPr>
          <w:rFonts w:ascii="宋体" w:hAnsi="宋体" w:cs="宋体"/>
          <w:sz w:val="21"/>
          <w:szCs w:val="21"/>
        </w:rPr>
      </w:pPr>
      <w:r>
        <w:rPr>
          <w:rFonts w:hint="eastAsia" w:ascii="宋体" w:hAnsi="宋体" w:cs="宋体"/>
          <w:sz w:val="21"/>
          <w:szCs w:val="21"/>
        </w:rPr>
        <w:t>2.4</w:t>
      </w:r>
      <w:r>
        <w:rPr>
          <w:rFonts w:hint="eastAsia" w:ascii="宋体" w:hAnsi="宋体" w:cs="宋体"/>
          <w:spacing w:val="-4"/>
          <w:sz w:val="21"/>
          <w:szCs w:val="21"/>
        </w:rPr>
        <w:t>检测内容应包括但不仅限于以下内容：</w:t>
      </w:r>
      <w:r>
        <w:rPr>
          <w:rFonts w:hint="eastAsia" w:ascii="宋体" w:hAnsi="宋体" w:cs="宋体"/>
          <w:sz w:val="21"/>
          <w:szCs w:val="21"/>
        </w:rPr>
        <w:t>外观检查、音响检查、瓶口螺纹与颈圈检查、钢瓶内部窥视损锈检查及处理、水压试验、壁厚测定、干燥处理、瓶头阀维修更换与安装、气密性试验、灭火剂的充装</w:t>
      </w:r>
      <w:r>
        <w:rPr>
          <w:rFonts w:hint="eastAsia" w:ascii="宋体" w:hAnsi="宋体" w:cs="宋体"/>
          <w:spacing w:val="-2"/>
          <w:sz w:val="21"/>
          <w:szCs w:val="21"/>
        </w:rPr>
        <w:t>等。检测前，应逐个登记气瓶相关信息，</w:t>
      </w:r>
      <w:r>
        <w:rPr>
          <w:rFonts w:hint="eastAsia" w:ascii="宋体" w:hAnsi="宋体" w:cs="宋体"/>
          <w:sz w:val="21"/>
          <w:szCs w:val="21"/>
        </w:rPr>
        <w:t>包括但不仅限于：制造标志、检验标志、国别、制造厂名称代号、出厂编号、年月、公称工作压力、水压试验压力、实际容积、实际重量、上次检验日期等内容。</w:t>
      </w:r>
    </w:p>
    <w:p>
      <w:pPr>
        <w:pStyle w:val="5"/>
        <w:spacing w:before="38" w:line="480" w:lineRule="auto"/>
        <w:ind w:left="120" w:leftChars="57" w:right="225" w:firstLine="298" w:firstLineChars="142"/>
        <w:rPr>
          <w:rFonts w:hint="eastAsia" w:cs="宋体"/>
          <w:sz w:val="21"/>
          <w:szCs w:val="21"/>
        </w:rPr>
      </w:pPr>
      <w:r>
        <w:rPr>
          <w:rFonts w:hint="eastAsia" w:cs="宋体"/>
          <w:sz w:val="21"/>
          <w:szCs w:val="21"/>
        </w:rPr>
        <w:t>2.5投标人应严格按照相关技术规范要求及国家相关标准、规定进行气瓶检测工作。检测完毕后，投标人应将经检测合格、充装完毕的钢瓶运输至项目现场，并按照原系统结构方式安装到位并调试正常，系统功能恢复后经需方验收合格。</w:t>
      </w:r>
    </w:p>
    <w:p>
      <w:pPr>
        <w:pStyle w:val="5"/>
        <w:spacing w:before="0" w:line="480" w:lineRule="auto"/>
        <w:jc w:val="left"/>
        <w:rPr>
          <w:rFonts w:cs="宋体"/>
          <w:b/>
          <w:bCs/>
          <w:sz w:val="21"/>
          <w:szCs w:val="21"/>
        </w:rPr>
      </w:pPr>
      <w:r>
        <w:rPr>
          <w:rFonts w:hint="eastAsia" w:cs="宋体"/>
          <w:b/>
          <w:bCs/>
          <w:sz w:val="21"/>
          <w:szCs w:val="21"/>
        </w:rPr>
        <w:t>3.技术要求</w:t>
      </w:r>
    </w:p>
    <w:p>
      <w:pPr>
        <w:pStyle w:val="5"/>
        <w:spacing w:before="82" w:line="480" w:lineRule="auto"/>
        <w:ind w:left="120" w:right="225" w:firstLine="480"/>
        <w:rPr>
          <w:rFonts w:cs="宋体"/>
          <w:sz w:val="21"/>
          <w:szCs w:val="21"/>
        </w:rPr>
      </w:pPr>
      <w:r>
        <w:rPr>
          <w:rFonts w:hint="eastAsia" w:cs="宋体"/>
          <w:sz w:val="21"/>
          <w:szCs w:val="21"/>
        </w:rPr>
        <w:t>3.1</w:t>
      </w:r>
      <w:r>
        <w:rPr>
          <w:rFonts w:hint="eastAsia" w:cs="宋体"/>
          <w:spacing w:val="-4"/>
          <w:sz w:val="21"/>
          <w:szCs w:val="21"/>
        </w:rPr>
        <w:t>本技术需求书中仅提出了采购人认为实施本项目需要满足的最低限度技术要求，并未</w:t>
      </w:r>
      <w:r>
        <w:rPr>
          <w:rFonts w:hint="eastAsia" w:cs="宋体"/>
          <w:sz w:val="21"/>
          <w:szCs w:val="21"/>
        </w:rPr>
        <w:t>对所有的技术要求和适用标准加以规定，本技术需求书中虽未提及，但国家相关法规、行业标准和规范规定的本项目其他应进行检测、维修、调试安装的工艺步骤和操作规程，投标人应严格按照国家消防法规、行业标准和规范的要求提供高质量产品及其伴随服务，同时应满足国家有关安全、环保等强制性标准和要求。</w:t>
      </w:r>
    </w:p>
    <w:p>
      <w:pPr>
        <w:pStyle w:val="5"/>
        <w:spacing w:before="38" w:line="480" w:lineRule="auto"/>
        <w:ind w:left="120" w:right="225" w:firstLine="480"/>
        <w:rPr>
          <w:rFonts w:cs="宋体"/>
          <w:sz w:val="21"/>
          <w:szCs w:val="21"/>
        </w:rPr>
      </w:pPr>
      <w:r>
        <w:rPr>
          <w:rFonts w:hint="eastAsia" w:cs="宋体"/>
          <w:sz w:val="21"/>
          <w:szCs w:val="21"/>
        </w:rPr>
        <w:t>3.2</w:t>
      </w:r>
      <w:r>
        <w:rPr>
          <w:rFonts w:hint="eastAsia" w:cs="宋体"/>
          <w:spacing w:val="-4"/>
          <w:sz w:val="21"/>
          <w:szCs w:val="21"/>
        </w:rPr>
        <w:t>本项目质量标准必须符合中华人民共和国国家标准（以下简称“国家标准”）、行业</w:t>
      </w:r>
      <w:r>
        <w:rPr>
          <w:rFonts w:hint="eastAsia" w:cs="宋体"/>
          <w:sz w:val="21"/>
          <w:szCs w:val="21"/>
        </w:rPr>
        <w:t xml:space="preserve"> 标准及地方标准，如果本招标文件中的任何文件规定的标准高于国家标准的，按相关文件中规定的标准执行；如果相关文件中规定的标准低于国家标准的，则按国家标准执行。</w:t>
      </w:r>
    </w:p>
    <w:p>
      <w:pPr>
        <w:pStyle w:val="5"/>
        <w:spacing w:before="36" w:line="480" w:lineRule="auto"/>
        <w:ind w:left="120" w:firstLine="480"/>
        <w:jc w:val="left"/>
        <w:rPr>
          <w:rFonts w:cs="宋体"/>
          <w:sz w:val="21"/>
          <w:szCs w:val="21"/>
        </w:rPr>
      </w:pPr>
      <w:r>
        <w:rPr>
          <w:rFonts w:hint="eastAsia" w:cs="宋体"/>
          <w:sz w:val="21"/>
          <w:szCs w:val="21"/>
        </w:rPr>
        <w:t>3.3</w:t>
      </w:r>
      <w:r>
        <w:rPr>
          <w:rFonts w:hint="eastAsia" w:cs="宋体"/>
          <w:spacing w:val="-4"/>
          <w:sz w:val="21"/>
          <w:szCs w:val="21"/>
        </w:rPr>
        <w:t>采购人向投标人提供的有关现场的数据和资料，是采购人现有的能被投标人利用的资</w:t>
      </w:r>
      <w:r>
        <w:rPr>
          <w:rFonts w:hint="eastAsia" w:cs="宋体"/>
          <w:sz w:val="21"/>
          <w:szCs w:val="21"/>
        </w:rPr>
        <w:t xml:space="preserve"> 料，采购人对投标人做出的任何推理、理解和结论均不负责任。</w:t>
      </w:r>
    </w:p>
    <w:p>
      <w:pPr>
        <w:pStyle w:val="5"/>
        <w:spacing w:before="163" w:line="480" w:lineRule="auto"/>
        <w:ind w:left="120" w:right="225" w:firstLine="480"/>
        <w:rPr>
          <w:rFonts w:cs="宋体"/>
          <w:sz w:val="21"/>
          <w:szCs w:val="21"/>
        </w:rPr>
      </w:pPr>
      <w:r>
        <w:rPr>
          <w:rFonts w:hint="eastAsia" w:cs="宋体"/>
          <w:sz w:val="21"/>
          <w:szCs w:val="21"/>
        </w:rPr>
        <w:t>3.4</w:t>
      </w:r>
      <w:r>
        <w:rPr>
          <w:rFonts w:hint="eastAsia" w:cs="宋体"/>
          <w:spacing w:val="-4"/>
          <w:sz w:val="21"/>
          <w:szCs w:val="21"/>
        </w:rPr>
        <w:t>经投标人检验合格的钢瓶应按《气瓶安全监察规程》等相关规定在相应位置打上或压</w:t>
      </w:r>
      <w:r>
        <w:rPr>
          <w:rFonts w:hint="eastAsia" w:cs="宋体"/>
          <w:sz w:val="21"/>
          <w:szCs w:val="21"/>
        </w:rPr>
        <w:t>印检验标志，喷涂检验色标，出具检验合格证。</w:t>
      </w:r>
    </w:p>
    <w:p>
      <w:pPr>
        <w:pStyle w:val="5"/>
        <w:spacing w:before="41" w:line="480" w:lineRule="auto"/>
        <w:ind w:left="120" w:right="225" w:firstLine="480"/>
        <w:rPr>
          <w:rFonts w:cs="宋体"/>
          <w:sz w:val="21"/>
          <w:szCs w:val="21"/>
        </w:rPr>
      </w:pPr>
      <w:r>
        <w:rPr>
          <w:rFonts w:hint="eastAsia" w:cs="宋体"/>
          <w:sz w:val="21"/>
          <w:szCs w:val="21"/>
        </w:rPr>
        <w:t>3.5</w:t>
      </w:r>
      <w:r>
        <w:rPr>
          <w:rFonts w:hint="eastAsia" w:cs="宋体"/>
          <w:spacing w:val="-4"/>
          <w:sz w:val="21"/>
          <w:szCs w:val="21"/>
        </w:rPr>
        <w:t>对经检验合格的钢瓶，投标人应按相关规定充装合格的混合气体或相应药剂，装填的</w:t>
      </w:r>
      <w:r>
        <w:rPr>
          <w:rFonts w:hint="eastAsia" w:cs="宋体"/>
          <w:sz w:val="21"/>
          <w:szCs w:val="21"/>
        </w:rPr>
        <w:t>药剂要符合国家相关药剂质量标准，符合系统原有设计和使用要求，达到原设计灭火效能。</w:t>
      </w:r>
    </w:p>
    <w:p>
      <w:pPr>
        <w:pStyle w:val="5"/>
        <w:spacing w:before="38" w:line="480" w:lineRule="auto"/>
        <w:ind w:left="120" w:right="224" w:firstLine="480"/>
        <w:rPr>
          <w:rFonts w:cs="宋体"/>
          <w:sz w:val="21"/>
          <w:szCs w:val="21"/>
        </w:rPr>
      </w:pPr>
      <w:r>
        <w:rPr>
          <w:rFonts w:hint="eastAsia" w:cs="宋体"/>
          <w:sz w:val="21"/>
          <w:szCs w:val="21"/>
        </w:rPr>
        <w:t>3.6</w:t>
      </w:r>
      <w:r>
        <w:rPr>
          <w:rFonts w:hint="eastAsia" w:cs="宋体"/>
          <w:spacing w:val="2"/>
          <w:sz w:val="21"/>
          <w:szCs w:val="21"/>
        </w:rPr>
        <w:t>投标人应</w:t>
      </w:r>
      <w:r>
        <w:rPr>
          <w:rFonts w:hint="eastAsia" w:cs="宋体"/>
          <w:sz w:val="21"/>
          <w:szCs w:val="21"/>
        </w:rPr>
        <w:t>提交加盖检测单位公章的钢瓶（或气瓶）检测资质文件及钢瓶（或气瓶）检验报告。</w:t>
      </w:r>
    </w:p>
    <w:p>
      <w:pPr>
        <w:pStyle w:val="5"/>
        <w:spacing w:before="82" w:line="480" w:lineRule="auto"/>
        <w:ind w:right="426"/>
        <w:jc w:val="left"/>
        <w:rPr>
          <w:rFonts w:cs="宋体"/>
          <w:b/>
          <w:bCs/>
          <w:sz w:val="21"/>
          <w:szCs w:val="21"/>
        </w:rPr>
      </w:pPr>
      <w:r>
        <w:rPr>
          <w:rFonts w:hint="eastAsia" w:cs="宋体"/>
          <w:b/>
          <w:bCs/>
          <w:sz w:val="21"/>
          <w:szCs w:val="21"/>
          <w:lang w:val="en-US" w:eastAsia="zh-CN"/>
        </w:rPr>
        <w:t>4</w:t>
      </w:r>
      <w:r>
        <w:rPr>
          <w:rFonts w:hint="eastAsia" w:cs="宋体"/>
          <w:b/>
          <w:bCs/>
          <w:sz w:val="21"/>
          <w:szCs w:val="21"/>
        </w:rPr>
        <w:t>.其它要求</w:t>
      </w:r>
    </w:p>
    <w:p>
      <w:pPr>
        <w:pStyle w:val="5"/>
        <w:spacing w:before="163" w:line="480" w:lineRule="auto"/>
        <w:jc w:val="left"/>
        <w:rPr>
          <w:rFonts w:cs="宋体"/>
          <w:sz w:val="21"/>
          <w:szCs w:val="21"/>
        </w:rPr>
      </w:pPr>
      <w:r>
        <w:rPr>
          <w:rFonts w:hint="eastAsia" w:cs="宋体"/>
          <w:sz w:val="21"/>
          <w:szCs w:val="21"/>
          <w:lang w:val="en-US" w:eastAsia="zh-CN"/>
        </w:rPr>
        <w:t>4</w:t>
      </w:r>
      <w:r>
        <w:rPr>
          <w:rFonts w:hint="eastAsia" w:cs="宋体"/>
          <w:sz w:val="21"/>
          <w:szCs w:val="21"/>
        </w:rPr>
        <w:t>.1施工技术要求</w:t>
      </w:r>
    </w:p>
    <w:p>
      <w:pPr>
        <w:pStyle w:val="5"/>
        <w:spacing w:before="161" w:line="480" w:lineRule="auto"/>
        <w:jc w:val="left"/>
        <w:rPr>
          <w:rFonts w:cs="宋体"/>
          <w:sz w:val="21"/>
          <w:szCs w:val="21"/>
        </w:rPr>
      </w:pPr>
      <w:r>
        <w:rPr>
          <w:rFonts w:hint="eastAsia" w:cs="宋体"/>
          <w:sz w:val="21"/>
          <w:szCs w:val="21"/>
          <w:lang w:val="en-US" w:eastAsia="zh-CN"/>
        </w:rPr>
        <w:t>4</w:t>
      </w:r>
      <w:r>
        <w:rPr>
          <w:rFonts w:hint="eastAsia" w:cs="宋体"/>
          <w:sz w:val="21"/>
          <w:szCs w:val="21"/>
        </w:rPr>
        <w:t>.1.1投标人须为本项目的施工、质量、安全负责。</w:t>
      </w:r>
    </w:p>
    <w:p>
      <w:pPr>
        <w:pStyle w:val="5"/>
        <w:spacing w:before="163" w:line="480" w:lineRule="auto"/>
        <w:ind w:left="120" w:firstLine="480"/>
        <w:jc w:val="left"/>
        <w:rPr>
          <w:rFonts w:cs="宋体"/>
          <w:sz w:val="21"/>
          <w:szCs w:val="21"/>
        </w:rPr>
      </w:pPr>
      <w:r>
        <w:rPr>
          <w:rFonts w:hint="eastAsia" w:cs="宋体"/>
          <w:sz w:val="21"/>
          <w:szCs w:val="21"/>
          <w:lang w:val="en-US" w:eastAsia="zh-CN"/>
        </w:rPr>
        <w:t>4</w:t>
      </w:r>
      <w:r>
        <w:rPr>
          <w:rFonts w:hint="eastAsia" w:cs="宋体"/>
          <w:sz w:val="21"/>
          <w:szCs w:val="21"/>
        </w:rPr>
        <w:t>.1.2</w:t>
      </w:r>
      <w:r>
        <w:rPr>
          <w:rFonts w:hint="eastAsia" w:cs="宋体"/>
          <w:spacing w:val="-7"/>
          <w:sz w:val="21"/>
          <w:szCs w:val="21"/>
        </w:rPr>
        <w:t>投标人应承担其委派完成本项目的一切人员的劳务报酬、住宿、膳食、交通、保险、</w:t>
      </w:r>
      <w:r>
        <w:rPr>
          <w:rFonts w:hint="eastAsia" w:cs="宋体"/>
          <w:sz w:val="21"/>
          <w:szCs w:val="21"/>
        </w:rPr>
        <w:t xml:space="preserve"> 必要的证件、许可和注册、办公和生活环境所需的必需品等所发生的一切费用。</w:t>
      </w:r>
    </w:p>
    <w:p>
      <w:pPr>
        <w:pStyle w:val="5"/>
        <w:spacing w:before="38" w:line="480" w:lineRule="auto"/>
        <w:ind w:left="120" w:right="225" w:firstLine="480"/>
        <w:rPr>
          <w:rFonts w:cs="宋体"/>
          <w:sz w:val="21"/>
          <w:szCs w:val="21"/>
        </w:rPr>
      </w:pPr>
      <w:r>
        <w:rPr>
          <w:rFonts w:hint="eastAsia" w:cs="宋体"/>
          <w:sz w:val="21"/>
          <w:szCs w:val="21"/>
          <w:lang w:val="en-US" w:eastAsia="zh-CN"/>
        </w:rPr>
        <w:t>4</w:t>
      </w:r>
      <w:r>
        <w:rPr>
          <w:rFonts w:hint="eastAsia" w:cs="宋体"/>
          <w:sz w:val="21"/>
          <w:szCs w:val="21"/>
        </w:rPr>
        <w:t>.1.3</w:t>
      </w:r>
      <w:r>
        <w:rPr>
          <w:rFonts w:hint="eastAsia" w:cs="宋体"/>
          <w:spacing w:val="-4"/>
          <w:sz w:val="21"/>
          <w:szCs w:val="21"/>
        </w:rPr>
        <w:t>投标人派驻本项目实施作业人员，涉及特殊工种的应按国家、行业要求接受专门培</w:t>
      </w:r>
      <w:r>
        <w:rPr>
          <w:rFonts w:hint="eastAsia" w:cs="宋体"/>
          <w:sz w:val="21"/>
          <w:szCs w:val="21"/>
        </w:rPr>
        <w:t>训，并取得政府和有关管理机构规定的上岗证书、资质证书。</w:t>
      </w:r>
    </w:p>
    <w:p>
      <w:pPr>
        <w:pStyle w:val="5"/>
        <w:spacing w:before="41" w:line="480" w:lineRule="auto"/>
        <w:jc w:val="left"/>
        <w:rPr>
          <w:rFonts w:cs="宋体"/>
          <w:sz w:val="21"/>
          <w:szCs w:val="21"/>
        </w:rPr>
      </w:pPr>
      <w:r>
        <w:rPr>
          <w:rFonts w:hint="eastAsia" w:cs="宋体"/>
          <w:sz w:val="21"/>
          <w:szCs w:val="21"/>
          <w:lang w:val="en-US" w:eastAsia="zh-CN"/>
        </w:rPr>
        <w:t>4</w:t>
      </w:r>
      <w:r>
        <w:rPr>
          <w:rFonts w:hint="eastAsia" w:cs="宋体"/>
          <w:sz w:val="21"/>
          <w:szCs w:val="21"/>
        </w:rPr>
        <w:t>.1.4</w:t>
      </w:r>
      <w:r>
        <w:rPr>
          <w:rFonts w:hint="eastAsia" w:cs="宋体"/>
          <w:spacing w:val="-4"/>
          <w:sz w:val="21"/>
          <w:szCs w:val="21"/>
        </w:rPr>
        <w:t>投标人应完成法规和规范要求必须进行检查和检验的施工工序，采购人有权随时对</w:t>
      </w:r>
      <w:bookmarkStart w:id="0" w:name="第四部分__合同条款（主要条款）"/>
      <w:bookmarkEnd w:id="0"/>
      <w:r>
        <w:rPr>
          <w:rFonts w:hint="eastAsia" w:cs="宋体"/>
          <w:sz w:val="21"/>
          <w:szCs w:val="21"/>
        </w:rPr>
        <w:t>各工序进行现场抽查。</w:t>
      </w:r>
    </w:p>
    <w:p>
      <w:pPr>
        <w:pStyle w:val="5"/>
        <w:spacing w:before="163" w:line="480" w:lineRule="auto"/>
        <w:jc w:val="left"/>
        <w:rPr>
          <w:rFonts w:cs="宋体"/>
          <w:sz w:val="21"/>
          <w:szCs w:val="21"/>
        </w:rPr>
      </w:pPr>
      <w:r>
        <w:rPr>
          <w:rFonts w:hint="eastAsia" w:cs="宋体"/>
          <w:sz w:val="21"/>
          <w:szCs w:val="21"/>
          <w:lang w:val="en-US" w:eastAsia="zh-CN"/>
        </w:rPr>
        <w:t>4</w:t>
      </w:r>
      <w:r>
        <w:rPr>
          <w:rFonts w:hint="eastAsia" w:cs="宋体"/>
          <w:sz w:val="21"/>
          <w:szCs w:val="21"/>
        </w:rPr>
        <w:t>.2技术交底及安全教育</w:t>
      </w:r>
    </w:p>
    <w:p>
      <w:pPr>
        <w:pStyle w:val="5"/>
        <w:spacing w:before="161" w:line="480" w:lineRule="auto"/>
        <w:ind w:left="120" w:right="205" w:firstLine="480"/>
        <w:rPr>
          <w:rFonts w:cs="宋体"/>
          <w:sz w:val="21"/>
          <w:szCs w:val="21"/>
        </w:rPr>
      </w:pPr>
      <w:r>
        <w:rPr>
          <w:rFonts w:hint="eastAsia" w:cs="宋体"/>
          <w:sz w:val="21"/>
          <w:szCs w:val="21"/>
          <w:lang w:val="en-US" w:eastAsia="zh-CN"/>
        </w:rPr>
        <w:t>4</w:t>
      </w:r>
      <w:r>
        <w:rPr>
          <w:rFonts w:hint="eastAsia" w:cs="宋体"/>
          <w:sz w:val="21"/>
          <w:szCs w:val="21"/>
        </w:rPr>
        <w:t>.2.1</w:t>
      </w:r>
      <w:r>
        <w:rPr>
          <w:rFonts w:hint="eastAsia" w:cs="宋体"/>
          <w:spacing w:val="-4"/>
          <w:sz w:val="21"/>
          <w:szCs w:val="21"/>
        </w:rPr>
        <w:t>技术交底和安全教育是项目正式开工实施前投标人必须认真进行的一项工作，其目</w:t>
      </w:r>
      <w:r>
        <w:rPr>
          <w:rFonts w:hint="eastAsia" w:cs="宋体"/>
          <w:sz w:val="21"/>
          <w:szCs w:val="21"/>
        </w:rPr>
        <w:t>的是使施工作业单位及人员明确工程施工的内容、目标、技术质量要求、施工方法、施工顺序、进度安排、施工安全措施及文明作业要求。</w:t>
      </w:r>
    </w:p>
    <w:p>
      <w:pPr>
        <w:pStyle w:val="5"/>
        <w:spacing w:before="38" w:line="480" w:lineRule="auto"/>
        <w:ind w:left="120" w:right="205" w:firstLine="480"/>
        <w:rPr>
          <w:rFonts w:cs="宋体"/>
          <w:sz w:val="21"/>
          <w:szCs w:val="21"/>
        </w:rPr>
      </w:pPr>
      <w:r>
        <w:rPr>
          <w:rFonts w:hint="eastAsia" w:cs="宋体"/>
          <w:sz w:val="21"/>
          <w:szCs w:val="21"/>
          <w:lang w:val="en-US" w:eastAsia="zh-CN"/>
        </w:rPr>
        <w:t>4</w:t>
      </w:r>
      <w:r>
        <w:rPr>
          <w:rFonts w:hint="eastAsia" w:cs="宋体"/>
          <w:sz w:val="21"/>
          <w:szCs w:val="21"/>
        </w:rPr>
        <w:t>.2.2</w:t>
      </w:r>
      <w:r>
        <w:rPr>
          <w:rFonts w:hint="eastAsia" w:cs="宋体"/>
          <w:spacing w:val="-4"/>
          <w:sz w:val="21"/>
          <w:szCs w:val="21"/>
        </w:rPr>
        <w:t>强调安全施工、文明作业要求，明确安全防护的重点环节及安全保护措施。特别是</w:t>
      </w:r>
      <w:r>
        <w:rPr>
          <w:rFonts w:hint="eastAsia" w:cs="宋体"/>
          <w:sz w:val="21"/>
          <w:szCs w:val="21"/>
        </w:rPr>
        <w:t xml:space="preserve"> 防火、防触电、防机械伤人等容易造成人身伤害的环节，另外还需注意环境噪音污染，做出相应预防措施，并与施工作业人员签订安全责任书。</w:t>
      </w:r>
    </w:p>
    <w:p>
      <w:pPr>
        <w:pStyle w:val="5"/>
        <w:spacing w:before="0" w:line="480" w:lineRule="auto"/>
        <w:jc w:val="left"/>
        <w:rPr>
          <w:rFonts w:cs="宋体"/>
          <w:b/>
          <w:bCs/>
          <w:sz w:val="21"/>
          <w:szCs w:val="21"/>
        </w:rPr>
      </w:pPr>
      <w:r>
        <w:rPr>
          <w:rFonts w:hint="eastAsia" w:cs="宋体"/>
          <w:b/>
          <w:bCs/>
          <w:sz w:val="21"/>
          <w:szCs w:val="21"/>
          <w:lang w:val="en-US" w:eastAsia="zh-CN"/>
        </w:rPr>
        <w:t>5</w:t>
      </w:r>
      <w:r>
        <w:rPr>
          <w:rFonts w:hint="eastAsia" w:cs="宋体"/>
          <w:b/>
          <w:bCs/>
          <w:sz w:val="21"/>
          <w:szCs w:val="21"/>
        </w:rPr>
        <w:t>.质保期</w:t>
      </w:r>
    </w:p>
    <w:p>
      <w:pPr>
        <w:pStyle w:val="5"/>
        <w:spacing w:before="0" w:line="480" w:lineRule="auto"/>
        <w:jc w:val="left"/>
        <w:rPr>
          <w:rFonts w:hint="eastAsia" w:cs="宋体"/>
          <w:sz w:val="21"/>
          <w:szCs w:val="21"/>
        </w:rPr>
      </w:pPr>
      <w:r>
        <w:rPr>
          <w:rFonts w:hint="eastAsia" w:cs="宋体"/>
          <w:sz w:val="21"/>
          <w:szCs w:val="21"/>
        </w:rPr>
        <w:t>自竣工验收合格之日起壹年，</w:t>
      </w:r>
      <w:r>
        <w:rPr>
          <w:rFonts w:hint="eastAsia" w:cs="宋体"/>
          <w:b/>
          <w:sz w:val="21"/>
          <w:szCs w:val="21"/>
          <w:lang w:eastAsia="zh-CN"/>
        </w:rPr>
        <w:t>在质保期内</w:t>
      </w:r>
      <w:r>
        <w:rPr>
          <w:rFonts w:hint="eastAsia" w:cs="宋体"/>
          <w:b/>
          <w:sz w:val="21"/>
          <w:szCs w:val="21"/>
        </w:rPr>
        <w:t>因消防检查造成的罚款由投标人承担</w:t>
      </w:r>
      <w:r>
        <w:rPr>
          <w:rFonts w:hint="eastAsia" w:cs="宋体"/>
          <w:b/>
          <w:sz w:val="21"/>
          <w:szCs w:val="21"/>
          <w:lang w:eastAsia="zh-CN"/>
        </w:rPr>
        <w:t>，</w:t>
      </w:r>
      <w:r>
        <w:rPr>
          <w:rFonts w:hint="eastAsia" w:cs="宋体"/>
          <w:sz w:val="21"/>
          <w:szCs w:val="21"/>
        </w:rPr>
        <w:t>投标人应对质保期内正常使用条件下发生的一切施工质量问题负责，并承担由此造成的一切责任和损失。</w:t>
      </w:r>
    </w:p>
    <w:p>
      <w:pPr>
        <w:pStyle w:val="2"/>
        <w:ind w:left="0" w:leftChars="0" w:firstLine="0" w:firstLineChars="0"/>
      </w:pPr>
    </w:p>
    <w:p>
      <w:pPr>
        <w:pStyle w:val="2"/>
        <w:ind w:left="0" w:leftChars="0" w:firstLine="0" w:firstLineChars="0"/>
        <w:rPr>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64D3F"/>
    <w:multiLevelType w:val="singleLevel"/>
    <w:tmpl w:val="CD764D3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RlOGFmNmZiOGYwMWNjNTZmMzZlOThkZGZhMGFlOTUifQ=="/>
  </w:docVars>
  <w:rsids>
    <w:rsidRoot w:val="5C1D0FDB"/>
    <w:rsid w:val="000B5C5C"/>
    <w:rsid w:val="000F6963"/>
    <w:rsid w:val="001F4420"/>
    <w:rsid w:val="002231F8"/>
    <w:rsid w:val="00252EDD"/>
    <w:rsid w:val="002F6647"/>
    <w:rsid w:val="00321C0E"/>
    <w:rsid w:val="004749C3"/>
    <w:rsid w:val="004D50D5"/>
    <w:rsid w:val="0072394F"/>
    <w:rsid w:val="007F3C6D"/>
    <w:rsid w:val="00CE78AA"/>
    <w:rsid w:val="00D450F0"/>
    <w:rsid w:val="00F74D4C"/>
    <w:rsid w:val="0137343F"/>
    <w:rsid w:val="01A26771"/>
    <w:rsid w:val="03127926"/>
    <w:rsid w:val="03343D40"/>
    <w:rsid w:val="043F299D"/>
    <w:rsid w:val="0458327A"/>
    <w:rsid w:val="04A15406"/>
    <w:rsid w:val="04BE5FB8"/>
    <w:rsid w:val="0A856C30"/>
    <w:rsid w:val="0C8A677F"/>
    <w:rsid w:val="0CDA7707"/>
    <w:rsid w:val="0D186481"/>
    <w:rsid w:val="0D8D4779"/>
    <w:rsid w:val="0F751969"/>
    <w:rsid w:val="11301FEB"/>
    <w:rsid w:val="118C2F9A"/>
    <w:rsid w:val="11D566EF"/>
    <w:rsid w:val="13370CE3"/>
    <w:rsid w:val="13D35C80"/>
    <w:rsid w:val="142B4CEC"/>
    <w:rsid w:val="17DB2585"/>
    <w:rsid w:val="1A1119C7"/>
    <w:rsid w:val="1B375D24"/>
    <w:rsid w:val="1BFC2ACA"/>
    <w:rsid w:val="1C5D5C5E"/>
    <w:rsid w:val="1DCF493A"/>
    <w:rsid w:val="1ECE074D"/>
    <w:rsid w:val="1F040613"/>
    <w:rsid w:val="1F980D5B"/>
    <w:rsid w:val="1FE46EB8"/>
    <w:rsid w:val="1FE50445"/>
    <w:rsid w:val="21703D3E"/>
    <w:rsid w:val="2355768F"/>
    <w:rsid w:val="24264B88"/>
    <w:rsid w:val="24635DDC"/>
    <w:rsid w:val="248847A2"/>
    <w:rsid w:val="29532B6E"/>
    <w:rsid w:val="2A44220C"/>
    <w:rsid w:val="2A6F54DA"/>
    <w:rsid w:val="2AD90BA6"/>
    <w:rsid w:val="2E255EB0"/>
    <w:rsid w:val="2E7D5CEC"/>
    <w:rsid w:val="2E9574DA"/>
    <w:rsid w:val="30406FD1"/>
    <w:rsid w:val="30C916BD"/>
    <w:rsid w:val="329A50BF"/>
    <w:rsid w:val="335C7FF4"/>
    <w:rsid w:val="33DB773D"/>
    <w:rsid w:val="36C95F72"/>
    <w:rsid w:val="370A0339"/>
    <w:rsid w:val="37DF17C6"/>
    <w:rsid w:val="39C649EB"/>
    <w:rsid w:val="3A797CAF"/>
    <w:rsid w:val="3AAD14C4"/>
    <w:rsid w:val="3B1B2B15"/>
    <w:rsid w:val="3BBF7944"/>
    <w:rsid w:val="3D5567B2"/>
    <w:rsid w:val="3E612F34"/>
    <w:rsid w:val="3F7722E4"/>
    <w:rsid w:val="40F57964"/>
    <w:rsid w:val="44CB1108"/>
    <w:rsid w:val="46081BD0"/>
    <w:rsid w:val="46244F73"/>
    <w:rsid w:val="467A2DE5"/>
    <w:rsid w:val="48A451A8"/>
    <w:rsid w:val="48EC789E"/>
    <w:rsid w:val="49107A31"/>
    <w:rsid w:val="4D3637DE"/>
    <w:rsid w:val="4D367FC5"/>
    <w:rsid w:val="4DBF5582"/>
    <w:rsid w:val="4DDD3C5A"/>
    <w:rsid w:val="4EA708A9"/>
    <w:rsid w:val="4ED11A10"/>
    <w:rsid w:val="4F691C49"/>
    <w:rsid w:val="53D2020A"/>
    <w:rsid w:val="54646E83"/>
    <w:rsid w:val="547274DF"/>
    <w:rsid w:val="572B1EDA"/>
    <w:rsid w:val="5748483A"/>
    <w:rsid w:val="5829466B"/>
    <w:rsid w:val="5C1D0FDB"/>
    <w:rsid w:val="5DB70023"/>
    <w:rsid w:val="5DFB7811"/>
    <w:rsid w:val="5EB17167"/>
    <w:rsid w:val="5EB427B5"/>
    <w:rsid w:val="64095351"/>
    <w:rsid w:val="654546E6"/>
    <w:rsid w:val="669E4476"/>
    <w:rsid w:val="673B7F17"/>
    <w:rsid w:val="677200D4"/>
    <w:rsid w:val="697F233D"/>
    <w:rsid w:val="6A1231B1"/>
    <w:rsid w:val="6D3E42BD"/>
    <w:rsid w:val="6EB83BFB"/>
    <w:rsid w:val="71057F9F"/>
    <w:rsid w:val="725700A9"/>
    <w:rsid w:val="72916C3D"/>
    <w:rsid w:val="72A93F87"/>
    <w:rsid w:val="74561EEC"/>
    <w:rsid w:val="761C7166"/>
    <w:rsid w:val="770519A8"/>
    <w:rsid w:val="77EE5092"/>
    <w:rsid w:val="78076BBD"/>
    <w:rsid w:val="794B223C"/>
    <w:rsid w:val="79654980"/>
    <w:rsid w:val="7B86105C"/>
    <w:rsid w:val="7BF30969"/>
    <w:rsid w:val="7CD97B5E"/>
    <w:rsid w:val="7E7A4D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ind w:left="420" w:leftChars="200"/>
    </w:pPr>
    <w:rPr>
      <w:szCs w:val="22"/>
    </w:rPr>
  </w:style>
  <w:style w:type="paragraph" w:styleId="4">
    <w:name w:val="envelope return"/>
    <w:basedOn w:val="1"/>
    <w:unhideWhenUsed/>
    <w:qFormat/>
    <w:uiPriority w:val="99"/>
    <w:pPr>
      <w:snapToGrid w:val="0"/>
    </w:pPr>
    <w:rPr>
      <w:rFonts w:ascii="Arial" w:hAnsi="Arial"/>
    </w:rPr>
  </w:style>
  <w:style w:type="paragraph" w:styleId="5">
    <w:name w:val="Body Text"/>
    <w:basedOn w:val="1"/>
    <w:qFormat/>
    <w:uiPriority w:val="1"/>
    <w:pPr>
      <w:spacing w:before="145"/>
      <w:ind w:left="600"/>
    </w:pPr>
    <w:rPr>
      <w:rFonts w:ascii="宋体" w:hAnsi="宋体"/>
      <w:sz w:val="24"/>
      <w:szCs w:val="24"/>
    </w:rPr>
  </w:style>
  <w:style w:type="paragraph" w:styleId="6">
    <w:name w:val="footer"/>
    <w:basedOn w:val="1"/>
    <w:link w:val="12"/>
    <w:uiPriority w:val="0"/>
    <w:pPr>
      <w:tabs>
        <w:tab w:val="center" w:pos="4153"/>
        <w:tab w:val="right" w:pos="8306"/>
      </w:tabs>
      <w:snapToGrid w:val="0"/>
      <w:jc w:val="left"/>
    </w:pPr>
    <w:rPr>
      <w:sz w:val="18"/>
      <w:szCs w:val="18"/>
    </w:rPr>
  </w:style>
  <w:style w:type="paragraph" w:styleId="7">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customStyle="1" w:styleId="10">
    <w:name w:val="Table Paragraph"/>
    <w:basedOn w:val="1"/>
    <w:qFormat/>
    <w:uiPriority w:val="1"/>
  </w:style>
  <w:style w:type="character" w:customStyle="1" w:styleId="11">
    <w:name w:val="页眉 Char"/>
    <w:basedOn w:val="9"/>
    <w:link w:val="7"/>
    <w:qFormat/>
    <w:uiPriority w:val="0"/>
    <w:rPr>
      <w:rFonts w:ascii="Times New Roman" w:hAnsi="Times New Roman" w:eastAsia="宋体" w:cs="Times New Roman"/>
      <w:kern w:val="2"/>
      <w:sz w:val="18"/>
      <w:szCs w:val="18"/>
    </w:rPr>
  </w:style>
  <w:style w:type="character" w:customStyle="1" w:styleId="12">
    <w:name w:val="页脚 Char"/>
    <w:basedOn w:val="9"/>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2078</Words>
  <Characters>2212</Characters>
  <Lines>17</Lines>
  <Paragraphs>4</Paragraphs>
  <TotalTime>2</TotalTime>
  <ScaleCrop>false</ScaleCrop>
  <LinksUpToDate>false</LinksUpToDate>
  <CharactersWithSpaces>2224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2022-02-23T02:27:00Z</dcterms:created>
  <dc:creator>丽</dc:creator>
  <cp:lastModifiedBy>萌美丽</cp:lastModifiedBy>
  <dcterms:modified xsi:type="dcterms:W3CDTF">2022-09-22T01:10:42Z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8B86F1D0A0F24281B805786484DB5873</vt:lpwstr>
  </property>
</Properties>
</file>